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64154C" w14:textId="4A97569C" w:rsidR="00EC0EA6" w:rsidRPr="008F786B" w:rsidRDefault="00EC0EA6" w:rsidP="00EC0E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004333F7" w:rsidRPr="004333F7">
        <w:rPr>
          <w:rFonts w:ascii="Arial" w:eastAsia="SimSun" w:hAnsi="Arial" w:cs="Times New Roman"/>
          <w:b/>
          <w:bCs/>
          <w:sz w:val="24"/>
          <w:szCs w:val="20"/>
          <w:lang w:eastAsia="ja-JP"/>
        </w:rPr>
        <w:t>R4-2419632</w:t>
      </w:r>
    </w:p>
    <w:p w14:paraId="7191D9CD" w14:textId="77777777" w:rsidR="00EC0EA6" w:rsidRPr="008F786B" w:rsidRDefault="00EC0EA6" w:rsidP="00EC0E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 US, Nov 18</w:t>
      </w:r>
      <w:r>
        <w:rPr>
          <w:rFonts w:ascii="Arial" w:eastAsia="SimSun" w:hAnsi="Arial" w:cs="Times New Roman"/>
          <w:b/>
          <w:sz w:val="24"/>
          <w:szCs w:val="20"/>
        </w:rPr>
        <w:t>th</w:t>
      </w:r>
      <w:r w:rsidRPr="008F786B">
        <w:rPr>
          <w:rFonts w:ascii="Arial" w:eastAsia="SimSun" w:hAnsi="Arial" w:cs="Times New Roman"/>
          <w:b/>
          <w:sz w:val="24"/>
          <w:szCs w:val="20"/>
        </w:rPr>
        <w:t xml:space="preserve"> – Nov 22</w:t>
      </w:r>
      <w:r>
        <w:rPr>
          <w:rFonts w:ascii="Arial" w:eastAsia="SimSun" w:hAnsi="Arial" w:cs="Times New Roman"/>
          <w:b/>
          <w:sz w:val="24"/>
          <w:szCs w:val="20"/>
        </w:rPr>
        <w:t>nd</w:t>
      </w:r>
      <w:r w:rsidRPr="008F786B">
        <w:rPr>
          <w:rFonts w:ascii="Arial" w:eastAsia="SimSun" w:hAnsi="Arial" w:cs="Times New Roman"/>
          <w:b/>
          <w:sz w:val="24"/>
          <w:szCs w:val="20"/>
        </w:rPr>
        <w:t>, 2024</w:t>
      </w:r>
    </w:p>
    <w:bookmarkEnd w:id="0"/>
    <w:bookmarkEnd w:id="1"/>
    <w:p w14:paraId="0D8A4896" w14:textId="77777777" w:rsidR="00841BCD" w:rsidRPr="00EC0EA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D0F6A5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36FB997" w14:textId="71374E4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D4973">
        <w:rPr>
          <w:rFonts w:ascii="Arial" w:eastAsia="Calibri" w:hAnsi="Arial" w:cs="Arial"/>
          <w:b/>
          <w:bCs/>
          <w:sz w:val="24"/>
          <w:lang w:val="en-US"/>
        </w:rPr>
        <w:t xml:space="preserve">RRM requirements for Rel-19 </w:t>
      </w:r>
      <w:r w:rsidR="00EC0EA6">
        <w:rPr>
          <w:rFonts w:ascii="Arial" w:eastAsia="Calibri" w:hAnsi="Arial" w:cs="Arial"/>
          <w:b/>
          <w:bCs/>
          <w:sz w:val="24"/>
          <w:lang w:val="en-US"/>
        </w:rPr>
        <w:t>DL Coverage Enhancements in NTN</w:t>
      </w:r>
    </w:p>
    <w:p w14:paraId="102FA6DB" w14:textId="06800AE0" w:rsidR="00841BCD" w:rsidRPr="009D4973" w:rsidRDefault="00841BCD" w:rsidP="00841BCD">
      <w:pPr>
        <w:tabs>
          <w:tab w:val="left" w:pos="1985"/>
        </w:tabs>
        <w:spacing w:after="120" w:line="240" w:lineRule="auto"/>
        <w:rPr>
          <w:rFonts w:ascii="Arial" w:eastAsia="MS Mincho" w:hAnsi="Arial" w:cs="Arial"/>
          <w:b/>
          <w:bCs/>
          <w:sz w:val="24"/>
          <w:szCs w:val="20"/>
          <w:lang w:val="pt-BR"/>
        </w:rPr>
      </w:pPr>
      <w:r w:rsidRPr="009D4973">
        <w:rPr>
          <w:rFonts w:ascii="Arial" w:eastAsia="MS Mincho" w:hAnsi="Arial" w:cs="Arial"/>
          <w:b/>
          <w:bCs/>
          <w:sz w:val="24"/>
          <w:szCs w:val="20"/>
          <w:lang w:val="pt-BR"/>
        </w:rPr>
        <w:t>Agenda item:</w:t>
      </w:r>
      <w:r w:rsidRPr="009D4973">
        <w:rPr>
          <w:rFonts w:ascii="Arial" w:eastAsia="MS Mincho" w:hAnsi="Arial" w:cs="Arial"/>
          <w:b/>
          <w:bCs/>
          <w:sz w:val="24"/>
          <w:szCs w:val="20"/>
          <w:lang w:val="pt-BR"/>
        </w:rPr>
        <w:tab/>
      </w:r>
      <w:r w:rsidR="00EC0EA6">
        <w:rPr>
          <w:rFonts w:ascii="Arial" w:eastAsia="MS Mincho" w:hAnsi="Arial" w:cs="Arial"/>
          <w:b/>
          <w:bCs/>
          <w:sz w:val="24"/>
          <w:szCs w:val="20"/>
        </w:rPr>
        <w:t>7.26.4.2</w:t>
      </w:r>
    </w:p>
    <w:p w14:paraId="0F20E09A" w14:textId="77777777" w:rsidR="00D66188" w:rsidRPr="00771D2E" w:rsidRDefault="00841BCD" w:rsidP="00841BCD">
      <w:pPr>
        <w:tabs>
          <w:tab w:val="left" w:pos="1985"/>
        </w:tabs>
        <w:rPr>
          <w:rFonts w:ascii="Arial" w:eastAsia="Calibri" w:hAnsi="Arial" w:cs="Arial"/>
          <w:b/>
          <w:bCs/>
          <w:sz w:val="24"/>
          <w:lang w:val="pt-BR"/>
        </w:rPr>
      </w:pPr>
      <w:proofErr w:type="spellStart"/>
      <w:r w:rsidRPr="00771D2E">
        <w:rPr>
          <w:rFonts w:ascii="Arial" w:eastAsia="Calibri" w:hAnsi="Arial" w:cs="Arial"/>
          <w:b/>
          <w:bCs/>
          <w:sz w:val="24"/>
          <w:lang w:val="pt-BR"/>
        </w:rPr>
        <w:t>Document</w:t>
      </w:r>
      <w:proofErr w:type="spellEnd"/>
      <w:r w:rsidRPr="00771D2E">
        <w:rPr>
          <w:rFonts w:ascii="Arial" w:eastAsia="Calibri" w:hAnsi="Arial" w:cs="Arial"/>
          <w:b/>
          <w:bCs/>
          <w:sz w:val="24"/>
          <w:lang w:val="pt-BR"/>
        </w:rPr>
        <w:t xml:space="preserve"> for:</w:t>
      </w:r>
      <w:r w:rsidRPr="00771D2E">
        <w:rPr>
          <w:rFonts w:ascii="Arial" w:eastAsia="Calibri" w:hAnsi="Arial" w:cs="Arial"/>
          <w:b/>
          <w:bCs/>
          <w:sz w:val="24"/>
          <w:lang w:val="pt-BR"/>
        </w:rPr>
        <w:tab/>
      </w:r>
      <w:proofErr w:type="spellStart"/>
      <w:r w:rsidR="00AE6D09" w:rsidRPr="00771D2E">
        <w:rPr>
          <w:rFonts w:ascii="Arial" w:eastAsia="Calibri" w:hAnsi="Arial" w:cs="Arial"/>
          <w:b/>
          <w:bCs/>
          <w:sz w:val="24"/>
          <w:lang w:val="pt-BR"/>
        </w:rPr>
        <w:t>Discussion</w:t>
      </w:r>
      <w:proofErr w:type="spellEnd"/>
    </w:p>
    <w:p w14:paraId="7B551A88" w14:textId="77777777" w:rsidR="00E323E9" w:rsidRPr="00771D2E" w:rsidRDefault="00E323E9" w:rsidP="00841BCD">
      <w:pPr>
        <w:tabs>
          <w:tab w:val="left" w:pos="1985"/>
        </w:tabs>
        <w:rPr>
          <w:rFonts w:ascii="Arial" w:eastAsia="Calibri" w:hAnsi="Arial" w:cs="Arial"/>
          <w:b/>
          <w:bCs/>
          <w:sz w:val="24"/>
          <w:lang w:val="pt-BR"/>
        </w:rPr>
      </w:pPr>
    </w:p>
    <w:p w14:paraId="0AE7C22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1017A0" w14:textId="26C20E02" w:rsidR="00381F95" w:rsidRDefault="00E42B45" w:rsidP="005C23A4">
      <w:pPr>
        <w:rPr>
          <w:lang w:val="en-US"/>
        </w:rPr>
      </w:pPr>
      <w:r>
        <w:rPr>
          <w:lang w:val="en-US"/>
        </w:rPr>
        <w:t xml:space="preserve">In </w:t>
      </w:r>
      <w:r>
        <w:rPr>
          <w:lang w:val="en-US"/>
        </w:rPr>
        <w:fldChar w:fldCharType="begin"/>
      </w:r>
      <w:r>
        <w:rPr>
          <w:lang w:val="en-US"/>
        </w:rPr>
        <w:instrText xml:space="preserve"> REF _Ref178945353 \r \h </w:instrText>
      </w:r>
      <w:r>
        <w:rPr>
          <w:lang w:val="en-US"/>
        </w:rPr>
      </w:r>
      <w:r>
        <w:rPr>
          <w:lang w:val="en-US"/>
        </w:rPr>
        <w:fldChar w:fldCharType="separate"/>
      </w:r>
      <w:r>
        <w:rPr>
          <w:lang w:val="en-US"/>
        </w:rPr>
        <w:t>[1]</w:t>
      </w:r>
      <w:r>
        <w:rPr>
          <w:lang w:val="en-US"/>
        </w:rPr>
        <w:fldChar w:fldCharType="end"/>
      </w:r>
      <w:r>
        <w:rPr>
          <w:lang w:val="en-US"/>
        </w:rPr>
        <w:t xml:space="preserve">, RAN plenary has approved a new WI for NTN, which will progress the effort of specification for NTN systems in 3GPP technologies in Rel-19 (NR_NTN_PH3). The most recent version of the WID can be found in </w:t>
      </w:r>
      <w:r>
        <w:rPr>
          <w:lang w:val="en-US"/>
        </w:rPr>
        <w:fldChar w:fldCharType="begin"/>
      </w:r>
      <w:r>
        <w:rPr>
          <w:lang w:val="en-US"/>
        </w:rPr>
        <w:instrText xml:space="preserve"> REF _Ref178945346 \r \h </w:instrText>
      </w:r>
      <w:r>
        <w:rPr>
          <w:lang w:val="en-US"/>
        </w:rPr>
      </w:r>
      <w:r>
        <w:rPr>
          <w:lang w:val="en-US"/>
        </w:rPr>
        <w:fldChar w:fldCharType="separate"/>
      </w:r>
      <w:r>
        <w:rPr>
          <w:lang w:val="en-US"/>
        </w:rPr>
        <w:t>[2]</w:t>
      </w:r>
      <w:r>
        <w:rPr>
          <w:lang w:val="en-US"/>
        </w:rPr>
        <w:fldChar w:fldCharType="end"/>
      </w:r>
      <w:r>
        <w:rPr>
          <w:lang w:val="en-US"/>
        </w:rPr>
        <w:t xml:space="preserve">. It includes a handful of objectives such as: </w:t>
      </w:r>
    </w:p>
    <w:p w14:paraId="0346C622" w14:textId="0F499168" w:rsidR="00E42B45" w:rsidRDefault="00E42B45" w:rsidP="00570158">
      <w:pPr>
        <w:pStyle w:val="ListParagraph"/>
        <w:numPr>
          <w:ilvl w:val="0"/>
          <w:numId w:val="28"/>
        </w:numPr>
        <w:rPr>
          <w:lang w:val="en-US"/>
        </w:rPr>
      </w:pPr>
      <w:r>
        <w:rPr>
          <w:lang w:val="en-US"/>
        </w:rPr>
        <w:t xml:space="preserve">Downlink Coverage Enhancements </w:t>
      </w:r>
    </w:p>
    <w:p w14:paraId="28B5201F" w14:textId="2C036464" w:rsidR="00E42B45" w:rsidRDefault="00E42B45" w:rsidP="00570158">
      <w:pPr>
        <w:pStyle w:val="ListParagraph"/>
        <w:numPr>
          <w:ilvl w:val="0"/>
          <w:numId w:val="28"/>
        </w:numPr>
        <w:rPr>
          <w:lang w:val="en-US"/>
        </w:rPr>
      </w:pPr>
      <w:r>
        <w:rPr>
          <w:lang w:val="en-US"/>
        </w:rPr>
        <w:t>Uplink Capacity/Coverage Enhancements</w:t>
      </w:r>
    </w:p>
    <w:p w14:paraId="3D415588" w14:textId="208C25C5" w:rsidR="00E42B45" w:rsidRDefault="00E42B45" w:rsidP="00570158">
      <w:pPr>
        <w:pStyle w:val="ListParagraph"/>
        <w:numPr>
          <w:ilvl w:val="0"/>
          <w:numId w:val="28"/>
        </w:numPr>
        <w:rPr>
          <w:lang w:val="en-US"/>
        </w:rPr>
      </w:pPr>
      <w:r>
        <w:rPr>
          <w:lang w:val="en-US"/>
        </w:rPr>
        <w:t>Signaling of the intended service area of a broadcast service (MBS broadcast)</w:t>
      </w:r>
    </w:p>
    <w:p w14:paraId="5ED3528E" w14:textId="55D78614" w:rsidR="00E42B45" w:rsidRDefault="00E42B45" w:rsidP="00570158">
      <w:pPr>
        <w:pStyle w:val="ListParagraph"/>
        <w:numPr>
          <w:ilvl w:val="0"/>
          <w:numId w:val="28"/>
        </w:numPr>
        <w:rPr>
          <w:lang w:val="en-US"/>
        </w:rPr>
      </w:pPr>
      <w:r>
        <w:rPr>
          <w:lang w:val="en-US"/>
        </w:rPr>
        <w:t>Support of regenerative payload for NTN systems</w:t>
      </w:r>
    </w:p>
    <w:p w14:paraId="4A766E3A" w14:textId="013AA450" w:rsidR="00E42B45" w:rsidRDefault="00E42B45" w:rsidP="00570158">
      <w:pPr>
        <w:pStyle w:val="ListParagraph"/>
        <w:numPr>
          <w:ilvl w:val="0"/>
          <w:numId w:val="28"/>
        </w:numPr>
        <w:rPr>
          <w:lang w:val="en-US"/>
        </w:rPr>
      </w:pPr>
      <w:r>
        <w:rPr>
          <w:lang w:val="en-US"/>
        </w:rPr>
        <w:t xml:space="preserve">Support of Rel-17 and Rel-18 </w:t>
      </w:r>
      <w:proofErr w:type="spellStart"/>
      <w:r>
        <w:rPr>
          <w:lang w:val="en-US"/>
        </w:rPr>
        <w:t>RedCap</w:t>
      </w:r>
      <w:proofErr w:type="spellEnd"/>
      <w:r>
        <w:rPr>
          <w:lang w:val="en-US"/>
        </w:rPr>
        <w:t xml:space="preserve"> and (e)</w:t>
      </w:r>
      <w:proofErr w:type="spellStart"/>
      <w:r>
        <w:rPr>
          <w:lang w:val="en-US"/>
        </w:rPr>
        <w:t>RedCap</w:t>
      </w:r>
      <w:proofErr w:type="spellEnd"/>
      <w:r>
        <w:rPr>
          <w:lang w:val="en-US"/>
        </w:rPr>
        <w:t xml:space="preserve"> UEs in NTN systems</w:t>
      </w:r>
    </w:p>
    <w:p w14:paraId="3B8BF17B" w14:textId="77777777" w:rsidR="00E42B45" w:rsidRDefault="00E42B45" w:rsidP="00E42B45">
      <w:pPr>
        <w:rPr>
          <w:lang w:val="en-US"/>
        </w:rPr>
      </w:pPr>
    </w:p>
    <w:p w14:paraId="737ED845" w14:textId="1C445232" w:rsidR="00E42B45" w:rsidRDefault="00E42B45" w:rsidP="00E42B45">
      <w:pPr>
        <w:rPr>
          <w:lang w:val="en-US"/>
        </w:rPr>
      </w:pPr>
      <w:r>
        <w:rPr>
          <w:lang w:val="en-US"/>
        </w:rPr>
        <w:t xml:space="preserve">The discussions of this WI in RAN4 were initiated in the previous meeting RAN4 #112. </w:t>
      </w:r>
      <w:r w:rsidR="000211B4">
        <w:rPr>
          <w:lang w:val="en-US"/>
        </w:rPr>
        <w:t>Discussions ensued in RAN4 #112bis a</w:t>
      </w:r>
      <w:r>
        <w:rPr>
          <w:lang w:val="en-US"/>
        </w:rPr>
        <w:t>nd as the outcome of the discussion a way-forward (WF) document was approved which contains a set of agreements and other way-forward (for further discussion) guidance for currently identified open issues</w:t>
      </w:r>
      <w:r w:rsidR="00570158">
        <w:rPr>
          <w:lang w:val="en-US"/>
        </w:rPr>
        <w:t xml:space="preserve"> </w:t>
      </w:r>
      <w:r w:rsidR="00570158">
        <w:rPr>
          <w:lang w:val="en-US"/>
        </w:rPr>
        <w:fldChar w:fldCharType="begin"/>
      </w:r>
      <w:r w:rsidR="00570158">
        <w:rPr>
          <w:lang w:val="en-US"/>
        </w:rPr>
        <w:instrText xml:space="preserve"> REF _Ref178945761 \r \h </w:instrText>
      </w:r>
      <w:r w:rsidR="00570158">
        <w:rPr>
          <w:lang w:val="en-US"/>
        </w:rPr>
      </w:r>
      <w:r w:rsidR="00570158">
        <w:rPr>
          <w:lang w:val="en-US"/>
        </w:rPr>
        <w:fldChar w:fldCharType="separate"/>
      </w:r>
      <w:r w:rsidR="00570158">
        <w:rPr>
          <w:lang w:val="en-US"/>
        </w:rPr>
        <w:t>[3]</w:t>
      </w:r>
      <w:r w:rsidR="00570158">
        <w:rPr>
          <w:lang w:val="en-US"/>
        </w:rPr>
        <w:fldChar w:fldCharType="end"/>
      </w:r>
      <w:r>
        <w:rPr>
          <w:lang w:val="en-US"/>
        </w:rPr>
        <w:t xml:space="preserve">. </w:t>
      </w:r>
    </w:p>
    <w:p w14:paraId="61248E82" w14:textId="15B88B05" w:rsidR="00E42B45" w:rsidRPr="00E42B45" w:rsidRDefault="00E42B45" w:rsidP="00E42B45">
      <w:pPr>
        <w:rPr>
          <w:lang w:val="en-US"/>
        </w:rPr>
      </w:pPr>
      <w:r>
        <w:rPr>
          <w:lang w:val="en-US"/>
        </w:rPr>
        <w:t xml:space="preserve">In this document we provide our views, </w:t>
      </w:r>
      <w:r w:rsidR="000211B4">
        <w:rPr>
          <w:lang w:val="en-US"/>
        </w:rPr>
        <w:t>focused on the first objective “Downlink Coverage Enhancements”</w:t>
      </w:r>
      <w:r>
        <w:rPr>
          <w:lang w:val="en-US"/>
        </w:rPr>
        <w:t xml:space="preserve">. </w:t>
      </w:r>
    </w:p>
    <w:p w14:paraId="1C673D94" w14:textId="77777777" w:rsidR="0060543D" w:rsidRPr="00614DD8" w:rsidRDefault="0060543D" w:rsidP="005C23A4">
      <w:pPr>
        <w:rPr>
          <w:lang w:val="en-US"/>
        </w:rPr>
      </w:pPr>
    </w:p>
    <w:p w14:paraId="3FB21255" w14:textId="77777777" w:rsidR="003B659E" w:rsidRDefault="003B659E" w:rsidP="00AE56B1">
      <w:pPr>
        <w:pStyle w:val="RAN4H1"/>
        <w:rPr>
          <w:lang w:val="en-US"/>
        </w:rPr>
      </w:pPr>
      <w:bookmarkStart w:id="4" w:name="_Toc116995842"/>
      <w:r w:rsidRPr="00614DD8">
        <w:rPr>
          <w:lang w:val="en-US"/>
        </w:rPr>
        <w:t>Discussion</w:t>
      </w:r>
      <w:bookmarkEnd w:id="4"/>
    </w:p>
    <w:p w14:paraId="64D42193" w14:textId="5C01467C" w:rsidR="00570158" w:rsidRDefault="000211B4" w:rsidP="00570158">
      <w:pPr>
        <w:rPr>
          <w:lang w:val="en-US"/>
        </w:rPr>
      </w:pPr>
      <w:r>
        <w:rPr>
          <w:lang w:val="en-US"/>
        </w:rPr>
        <w:t xml:space="preserve">RAN1 has recently agreed that for the DL Coverage Enhancement features, the SSB periodicity will be extended at least up to 160 </w:t>
      </w:r>
      <w:proofErr w:type="spellStart"/>
      <w:r>
        <w:rPr>
          <w:lang w:val="en-US"/>
        </w:rPr>
        <w:t>ms</w:t>
      </w:r>
      <w:proofErr w:type="spellEnd"/>
      <w:r>
        <w:rPr>
          <w:lang w:val="en-US"/>
        </w:rPr>
        <w:t xml:space="preserve"> (while 320 </w:t>
      </w:r>
      <w:proofErr w:type="spellStart"/>
      <w:r>
        <w:rPr>
          <w:lang w:val="en-US"/>
        </w:rPr>
        <w:t>ms</w:t>
      </w:r>
      <w:proofErr w:type="spellEnd"/>
      <w:r>
        <w:rPr>
          <w:lang w:val="en-US"/>
        </w:rPr>
        <w:t xml:space="preserve"> is still under consideration). </w:t>
      </w:r>
    </w:p>
    <w:p w14:paraId="06C42BD7" w14:textId="6BC1A4A1" w:rsidR="000211B4" w:rsidRDefault="000211B4" w:rsidP="00570158">
      <w:pPr>
        <w:rPr>
          <w:lang w:val="en-US"/>
        </w:rPr>
      </w:pPr>
      <w:r>
        <w:rPr>
          <w:lang w:val="en-US"/>
        </w:rPr>
        <w:t xml:space="preserve">This is a fundamental change compared to the previous assumption of 20 </w:t>
      </w:r>
      <w:proofErr w:type="spellStart"/>
      <w:r>
        <w:rPr>
          <w:lang w:val="en-US"/>
        </w:rPr>
        <w:t>ms</w:t>
      </w:r>
      <w:proofErr w:type="spellEnd"/>
      <w:r>
        <w:rPr>
          <w:lang w:val="en-US"/>
        </w:rPr>
        <w:t xml:space="preserve"> SSB periodicity (</w:t>
      </w:r>
      <w:r w:rsidR="00C3196C">
        <w:rPr>
          <w:lang w:val="en-US"/>
        </w:rPr>
        <w:t xml:space="preserve">although 160 </w:t>
      </w:r>
      <w:proofErr w:type="spellStart"/>
      <w:r w:rsidR="00C3196C">
        <w:rPr>
          <w:lang w:val="en-US"/>
        </w:rPr>
        <w:t>ms</w:t>
      </w:r>
      <w:proofErr w:type="spellEnd"/>
      <w:r w:rsidR="00C3196C">
        <w:rPr>
          <w:lang w:val="en-US"/>
        </w:rPr>
        <w:t xml:space="preserve"> was already a possible configuration, there was the expectation that due to standalone deployments, the periodicity was limited to 20 </w:t>
      </w:r>
      <w:proofErr w:type="spellStart"/>
      <w:r w:rsidR="00C3196C">
        <w:rPr>
          <w:lang w:val="en-US"/>
        </w:rPr>
        <w:t>ms</w:t>
      </w:r>
      <w:proofErr w:type="spellEnd"/>
      <w:r w:rsidR="004333F7">
        <w:rPr>
          <w:lang w:val="en-US"/>
        </w:rPr>
        <w:t xml:space="preserve"> for enabling efficient cell search</w:t>
      </w:r>
      <w:r w:rsidR="00C3196C">
        <w:rPr>
          <w:lang w:val="en-US"/>
        </w:rPr>
        <w:t>). Moreover, RAN1 is considering “DTX” aspects on the DL frame, meaning that certain subframes will not be transmitted at all. This consideration is in-line with the main motivation of the present WI: enabling power sharing across multiple satellite footprints (NR Cells) in a power-limited scenario (i.e. considering the available instantaneous power available at the satellite is limited).</w:t>
      </w:r>
    </w:p>
    <w:p w14:paraId="0BAF1A35" w14:textId="6EAFE321" w:rsidR="00C3196C" w:rsidRDefault="00C3196C" w:rsidP="00570158">
      <w:pPr>
        <w:rPr>
          <w:lang w:val="en-US"/>
        </w:rPr>
      </w:pPr>
      <w:r>
        <w:rPr>
          <w:lang w:val="en-US"/>
        </w:rPr>
        <w:t xml:space="preserve">Certain aspects might be impacted by this modification. In this contribution we identify some of the impacted RRM requirements and propose a WF for them. </w:t>
      </w:r>
    </w:p>
    <w:p w14:paraId="39077C34" w14:textId="76553BF7" w:rsidR="00C3196C" w:rsidRDefault="00C3196C" w:rsidP="00C3196C">
      <w:pPr>
        <w:pStyle w:val="RAN4H2"/>
        <w:rPr>
          <w:lang w:val="en-US"/>
        </w:rPr>
      </w:pPr>
      <w:r>
        <w:rPr>
          <w:lang w:val="en-US"/>
        </w:rPr>
        <w:t>Impact on Measurements for Cell reselection of Intra-frequency NR cells</w:t>
      </w:r>
    </w:p>
    <w:p w14:paraId="79835409" w14:textId="7CB177DB" w:rsidR="009E77FE" w:rsidRDefault="009E77FE" w:rsidP="009E77FE">
      <w:pPr>
        <w:rPr>
          <w:lang w:val="en-US"/>
        </w:rPr>
      </w:pPr>
      <w:r>
        <w:rPr>
          <w:lang w:val="en-US"/>
        </w:rPr>
        <w:t xml:space="preserve">In TS 38.133, Clauses 4.2C.2.3 and 4.2C.2.4 define respectively measurements of intra and </w:t>
      </w:r>
      <w:proofErr w:type="spellStart"/>
      <w:r>
        <w:rPr>
          <w:lang w:val="en-US"/>
        </w:rPr>
        <w:t>interfrequency</w:t>
      </w:r>
      <w:proofErr w:type="spellEnd"/>
      <w:r>
        <w:rPr>
          <w:lang w:val="en-US"/>
        </w:rPr>
        <w:t xml:space="preserve"> cells for cell reselection in Idle Mode. And for the measurement evaluation of the serving cell, the following values are defined:</w:t>
      </w:r>
    </w:p>
    <w:p w14:paraId="36D2F531" w14:textId="77777777" w:rsidR="009E77FE" w:rsidRDefault="009E77FE" w:rsidP="009E77FE">
      <w:pPr>
        <w:rPr>
          <w:lang w:val="en-US"/>
        </w:rPr>
      </w:pPr>
    </w:p>
    <w:tbl>
      <w:tblPr>
        <w:tblStyle w:val="TableGrid"/>
        <w:tblW w:w="0" w:type="auto"/>
        <w:tblLook w:val="04A0" w:firstRow="1" w:lastRow="0" w:firstColumn="1" w:lastColumn="0" w:noHBand="0" w:noVBand="1"/>
      </w:tblPr>
      <w:tblGrid>
        <w:gridCol w:w="1923"/>
        <w:gridCol w:w="1923"/>
        <w:gridCol w:w="1923"/>
        <w:gridCol w:w="1924"/>
        <w:gridCol w:w="1924"/>
      </w:tblGrid>
      <w:tr w:rsidR="009E77FE" w14:paraId="678187FB" w14:textId="77777777" w:rsidTr="009E77FE">
        <w:tc>
          <w:tcPr>
            <w:tcW w:w="1923" w:type="dxa"/>
          </w:tcPr>
          <w:p w14:paraId="55CFC075" w14:textId="38EBAD51" w:rsidR="009E77FE" w:rsidRDefault="009E77FE" w:rsidP="009E77FE">
            <w:pPr>
              <w:rPr>
                <w:lang w:val="en-US"/>
              </w:rPr>
            </w:pPr>
            <w:r w:rsidRPr="009C5807">
              <w:lastRenderedPageBreak/>
              <w:t>DRX cycle length [s]</w:t>
            </w:r>
          </w:p>
        </w:tc>
        <w:tc>
          <w:tcPr>
            <w:tcW w:w="1923" w:type="dxa"/>
          </w:tcPr>
          <w:p w14:paraId="1E172172" w14:textId="316142C9" w:rsidR="009E77FE" w:rsidRDefault="009E77FE" w:rsidP="009E77FE">
            <w:pPr>
              <w:rPr>
                <w:lang w:val="en-US"/>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923" w:type="dxa"/>
          </w:tcPr>
          <w:p w14:paraId="786ADD30" w14:textId="33083FD7" w:rsidR="009E77FE" w:rsidRDefault="009E77FE" w:rsidP="009E77FE">
            <w:pPr>
              <w:rPr>
                <w:lang w:val="en-US"/>
              </w:rPr>
            </w:pPr>
            <w:proofErr w:type="spellStart"/>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924" w:type="dxa"/>
          </w:tcPr>
          <w:p w14:paraId="36B48548" w14:textId="4E995A74" w:rsidR="009E77FE" w:rsidRDefault="009E77FE" w:rsidP="009E77FE">
            <w:pPr>
              <w:rPr>
                <w:lang w:val="en-US"/>
              </w:rPr>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924" w:type="dxa"/>
          </w:tcPr>
          <w:p w14:paraId="4669E4F6" w14:textId="6C2FE36A" w:rsidR="009E77FE" w:rsidRDefault="009E77FE" w:rsidP="009E77FE">
            <w:pPr>
              <w:rPr>
                <w:lang w:val="en-US"/>
              </w:rPr>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r>
      <w:tr w:rsidR="009E77FE" w14:paraId="7009F32B" w14:textId="77777777" w:rsidTr="009E77FE">
        <w:tc>
          <w:tcPr>
            <w:tcW w:w="1923" w:type="dxa"/>
          </w:tcPr>
          <w:p w14:paraId="5AA596CC" w14:textId="027D27D4" w:rsidR="009E77FE" w:rsidRDefault="009E77FE" w:rsidP="009E77FE">
            <w:pPr>
              <w:rPr>
                <w:lang w:val="en-US"/>
              </w:rPr>
            </w:pPr>
            <w:r w:rsidRPr="009C5807">
              <w:t>0.32</w:t>
            </w:r>
          </w:p>
        </w:tc>
        <w:tc>
          <w:tcPr>
            <w:tcW w:w="1923" w:type="dxa"/>
          </w:tcPr>
          <w:p w14:paraId="1D96F557" w14:textId="28B9D5BD" w:rsidR="009E77FE" w:rsidRDefault="009E77FE" w:rsidP="009E77FE">
            <w:pPr>
              <w:rPr>
                <w:lang w:val="en-US"/>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923" w:type="dxa"/>
          </w:tcPr>
          <w:p w14:paraId="434ECD4B" w14:textId="5246CE47" w:rsidR="009E77FE" w:rsidRDefault="009E77FE" w:rsidP="009E77FE">
            <w:pPr>
              <w:rPr>
                <w:lang w:val="en-US"/>
              </w:rPr>
            </w:pPr>
            <w:r w:rsidRPr="00BC005E">
              <w:t>0.32 x M3 (1 x M3)</w:t>
            </w:r>
            <w:r w:rsidRPr="00BC005E">
              <w:rPr>
                <w:vertAlign w:val="superscript"/>
              </w:rPr>
              <w:t xml:space="preserve"> Note 1</w:t>
            </w:r>
          </w:p>
        </w:tc>
        <w:tc>
          <w:tcPr>
            <w:tcW w:w="1924" w:type="dxa"/>
          </w:tcPr>
          <w:p w14:paraId="4126830C" w14:textId="04343A18" w:rsidR="009E77FE" w:rsidRDefault="009E77FE" w:rsidP="009E77FE">
            <w:pPr>
              <w:rPr>
                <w:lang w:val="en-US"/>
              </w:rPr>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924" w:type="dxa"/>
          </w:tcPr>
          <w:p w14:paraId="7D7E442A" w14:textId="62A56370" w:rsidR="009E77FE" w:rsidRDefault="009E77FE" w:rsidP="009E77FE">
            <w:pPr>
              <w:rPr>
                <w:lang w:val="en-US"/>
              </w:rPr>
            </w:pPr>
            <w:r w:rsidRPr="00542EC9">
              <w:rPr>
                <w:rFonts w:eastAsia="Malgun Gothic"/>
              </w:rPr>
              <w:t>[0.32 x M3 ([1] x M3)]</w:t>
            </w:r>
            <w:r w:rsidRPr="00542EC9">
              <w:rPr>
                <w:vertAlign w:val="superscript"/>
              </w:rPr>
              <w:t xml:space="preserve"> Note 1</w:t>
            </w:r>
          </w:p>
        </w:tc>
      </w:tr>
      <w:tr w:rsidR="009E77FE" w14:paraId="4EF3AF7F" w14:textId="77777777" w:rsidTr="009E77FE">
        <w:tc>
          <w:tcPr>
            <w:tcW w:w="1923" w:type="dxa"/>
          </w:tcPr>
          <w:p w14:paraId="48C2B8D3" w14:textId="07D262B1" w:rsidR="009E77FE" w:rsidRDefault="009E77FE" w:rsidP="009E77FE">
            <w:pPr>
              <w:rPr>
                <w:lang w:val="en-US"/>
              </w:rPr>
            </w:pPr>
            <w:r w:rsidRPr="009C5807">
              <w:t>0.64</w:t>
            </w:r>
          </w:p>
        </w:tc>
        <w:tc>
          <w:tcPr>
            <w:tcW w:w="1923" w:type="dxa"/>
          </w:tcPr>
          <w:p w14:paraId="71394865" w14:textId="290BE41C" w:rsidR="009E77FE" w:rsidRDefault="009E77FE" w:rsidP="009E77FE">
            <w:pPr>
              <w:rPr>
                <w:lang w:val="en-US"/>
              </w:rPr>
            </w:pPr>
            <w:r>
              <w:rPr>
                <w:rFonts w:ascii="Arial" w:hAnsi="Arial"/>
                <w:sz w:val="18"/>
              </w:rPr>
              <w:t>1.28 x N1 (2 x N1)</w:t>
            </w:r>
          </w:p>
        </w:tc>
        <w:tc>
          <w:tcPr>
            <w:tcW w:w="1923" w:type="dxa"/>
          </w:tcPr>
          <w:p w14:paraId="3D9B516A" w14:textId="01EBF3E3" w:rsidR="009E77FE" w:rsidRDefault="009E77FE" w:rsidP="009E77FE">
            <w:pPr>
              <w:rPr>
                <w:lang w:val="en-US"/>
              </w:rPr>
            </w:pPr>
            <w:r w:rsidRPr="00BC005E">
              <w:t>0.64 (1)</w:t>
            </w:r>
          </w:p>
        </w:tc>
        <w:tc>
          <w:tcPr>
            <w:tcW w:w="1924" w:type="dxa"/>
          </w:tcPr>
          <w:p w14:paraId="0A8F19C4" w14:textId="7DE4ACC8" w:rsidR="009E77FE" w:rsidRDefault="009E77FE" w:rsidP="009E77FE">
            <w:pPr>
              <w:rPr>
                <w:lang w:val="en-US"/>
              </w:rPr>
            </w:pPr>
            <w:r w:rsidRPr="009C5807">
              <w:t>1.28 x N1 (2 x N1)</w:t>
            </w:r>
          </w:p>
        </w:tc>
        <w:tc>
          <w:tcPr>
            <w:tcW w:w="1924" w:type="dxa"/>
          </w:tcPr>
          <w:p w14:paraId="2EDC27E8" w14:textId="48C5607A" w:rsidR="009E77FE" w:rsidRDefault="009E77FE" w:rsidP="009E77FE">
            <w:pPr>
              <w:rPr>
                <w:lang w:val="en-US"/>
              </w:rPr>
            </w:pPr>
            <w:r w:rsidRPr="00542EC9">
              <w:rPr>
                <w:rFonts w:eastAsia="Malgun Gothic"/>
              </w:rPr>
              <w:t>[0.64 (1)]</w:t>
            </w:r>
          </w:p>
        </w:tc>
      </w:tr>
      <w:tr w:rsidR="009E77FE" w14:paraId="3BB977BA" w14:textId="77777777" w:rsidTr="009E77FE">
        <w:tc>
          <w:tcPr>
            <w:tcW w:w="1923" w:type="dxa"/>
          </w:tcPr>
          <w:p w14:paraId="75A06829" w14:textId="603B2186" w:rsidR="009E77FE" w:rsidRDefault="009E77FE" w:rsidP="009E77FE">
            <w:pPr>
              <w:rPr>
                <w:lang w:val="en-US"/>
              </w:rPr>
            </w:pPr>
            <w:r w:rsidRPr="009C5807">
              <w:t>1.28</w:t>
            </w:r>
          </w:p>
        </w:tc>
        <w:tc>
          <w:tcPr>
            <w:tcW w:w="1923" w:type="dxa"/>
          </w:tcPr>
          <w:p w14:paraId="25C8E29C" w14:textId="13B6BB87" w:rsidR="009E77FE" w:rsidRDefault="009E77FE" w:rsidP="009E77FE">
            <w:pPr>
              <w:rPr>
                <w:lang w:val="en-US"/>
              </w:rPr>
            </w:pPr>
            <w:r>
              <w:rPr>
                <w:rFonts w:ascii="Arial" w:hAnsi="Arial"/>
                <w:sz w:val="18"/>
              </w:rPr>
              <w:t>1.28 x N1 (1 x N1)</w:t>
            </w:r>
          </w:p>
        </w:tc>
        <w:tc>
          <w:tcPr>
            <w:tcW w:w="1923" w:type="dxa"/>
          </w:tcPr>
          <w:p w14:paraId="26AA3BF0" w14:textId="6DD3AB83" w:rsidR="009E77FE" w:rsidRDefault="009E77FE" w:rsidP="009E77FE">
            <w:pPr>
              <w:rPr>
                <w:lang w:val="en-US"/>
              </w:rPr>
            </w:pPr>
            <w:r w:rsidRPr="006D5FB9">
              <w:rPr>
                <w:rFonts w:eastAsia="Malgun Gothic"/>
                <w:szCs w:val="24"/>
                <w:lang w:eastAsia="zh-CN"/>
              </w:rPr>
              <w:t>1.28 (1)</w:t>
            </w:r>
          </w:p>
        </w:tc>
        <w:tc>
          <w:tcPr>
            <w:tcW w:w="1924" w:type="dxa"/>
          </w:tcPr>
          <w:p w14:paraId="6BCA21AE" w14:textId="571310D8" w:rsidR="009E77FE" w:rsidRDefault="009E77FE" w:rsidP="009E77FE">
            <w:pPr>
              <w:rPr>
                <w:lang w:val="en-US"/>
              </w:rPr>
            </w:pPr>
            <w:r w:rsidRPr="009C5807">
              <w:t>1.28 x N1 (1 x N1)</w:t>
            </w:r>
          </w:p>
        </w:tc>
        <w:tc>
          <w:tcPr>
            <w:tcW w:w="1924" w:type="dxa"/>
          </w:tcPr>
          <w:p w14:paraId="447AF298" w14:textId="117A1739" w:rsidR="009E77FE" w:rsidRDefault="009E77FE" w:rsidP="009E77FE">
            <w:pPr>
              <w:rPr>
                <w:lang w:val="en-US"/>
              </w:rPr>
            </w:pPr>
            <w:r w:rsidRPr="00542EC9">
              <w:rPr>
                <w:rFonts w:eastAsia="Malgun Gothic"/>
                <w:szCs w:val="24"/>
                <w:lang w:eastAsia="zh-CN"/>
              </w:rPr>
              <w:t>1.28 (1)</w:t>
            </w:r>
          </w:p>
        </w:tc>
      </w:tr>
      <w:tr w:rsidR="009E77FE" w14:paraId="27956FC4" w14:textId="77777777" w:rsidTr="009E77FE">
        <w:tc>
          <w:tcPr>
            <w:tcW w:w="1923" w:type="dxa"/>
          </w:tcPr>
          <w:p w14:paraId="7BBB24FC" w14:textId="2F0CB54A" w:rsidR="009E77FE" w:rsidRPr="009C5807" w:rsidRDefault="009E77FE" w:rsidP="009E77FE">
            <w:r w:rsidRPr="009C5807">
              <w:t>2.56</w:t>
            </w:r>
          </w:p>
        </w:tc>
        <w:tc>
          <w:tcPr>
            <w:tcW w:w="1923" w:type="dxa"/>
          </w:tcPr>
          <w:p w14:paraId="5586E0AA" w14:textId="4057CFF9" w:rsidR="009E77FE" w:rsidRDefault="009E77FE" w:rsidP="009E77FE">
            <w:pPr>
              <w:rPr>
                <w:lang w:val="en-US"/>
              </w:rPr>
            </w:pPr>
            <w:r>
              <w:rPr>
                <w:rFonts w:ascii="Arial" w:hAnsi="Arial"/>
                <w:sz w:val="18"/>
              </w:rPr>
              <w:t>2.56 x N1 (1 x N1)</w:t>
            </w:r>
          </w:p>
        </w:tc>
        <w:tc>
          <w:tcPr>
            <w:tcW w:w="1923" w:type="dxa"/>
          </w:tcPr>
          <w:p w14:paraId="3265C32F" w14:textId="5E7F5590" w:rsidR="009E77FE" w:rsidRDefault="009E77FE" w:rsidP="009E77FE">
            <w:pPr>
              <w:rPr>
                <w:lang w:val="en-US"/>
              </w:rPr>
            </w:pPr>
            <w:r w:rsidRPr="006D5FB9">
              <w:t>2.56 (1)</w:t>
            </w:r>
          </w:p>
        </w:tc>
        <w:tc>
          <w:tcPr>
            <w:tcW w:w="1924" w:type="dxa"/>
          </w:tcPr>
          <w:p w14:paraId="04FDAB5C" w14:textId="13D996A3" w:rsidR="009E77FE" w:rsidRDefault="009E77FE" w:rsidP="009E77FE">
            <w:pPr>
              <w:rPr>
                <w:lang w:val="en-US"/>
              </w:rPr>
            </w:pPr>
            <w:r w:rsidRPr="009C5807">
              <w:t>2.56 x N1 (1 x N1)</w:t>
            </w:r>
          </w:p>
        </w:tc>
        <w:tc>
          <w:tcPr>
            <w:tcW w:w="1924" w:type="dxa"/>
          </w:tcPr>
          <w:p w14:paraId="12A38E44" w14:textId="1D74B625" w:rsidR="009E77FE" w:rsidRDefault="009E77FE" w:rsidP="009E77FE">
            <w:pPr>
              <w:rPr>
                <w:lang w:val="en-US"/>
              </w:rPr>
            </w:pPr>
            <w:r w:rsidRPr="00542EC9">
              <w:t>2.56 (1)</w:t>
            </w:r>
          </w:p>
        </w:tc>
      </w:tr>
    </w:tbl>
    <w:p w14:paraId="7A20C7F3" w14:textId="77777777" w:rsidR="009E77FE" w:rsidRPr="009E77FE" w:rsidRDefault="009E77FE" w:rsidP="009E77FE">
      <w:pPr>
        <w:rPr>
          <w:lang w:val="en-US"/>
        </w:rPr>
      </w:pPr>
    </w:p>
    <w:p w14:paraId="2A2509BF" w14:textId="1B93063B" w:rsidR="00B66B7D" w:rsidRDefault="009E77FE" w:rsidP="00B66B7D">
      <w:pPr>
        <w:rPr>
          <w:lang w:val="en-US"/>
        </w:rPr>
      </w:pPr>
      <w:r>
        <w:rPr>
          <w:lang w:val="en-US"/>
        </w:rPr>
        <w:t>Specification also states that: “</w:t>
      </w:r>
      <w:r w:rsidRPr="00E048BE">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E048BE">
        <w:rPr>
          <w:rFonts w:cs="v4.2.0"/>
        </w:rPr>
        <w:t>T</w:t>
      </w:r>
      <w:r w:rsidRPr="00E048BE">
        <w:rPr>
          <w:rFonts w:cs="v4.2.0"/>
          <w:vertAlign w:val="subscript"/>
        </w:rPr>
        <w:t>measure,NR_Int</w:t>
      </w:r>
      <w:r w:rsidRPr="00E048BE">
        <w:rPr>
          <w:rFonts w:cs="v4.2.0"/>
          <w:vertAlign w:val="subscript"/>
          <w:lang w:eastAsia="zh-CN"/>
        </w:rPr>
        <w:t>er</w:t>
      </w:r>
      <w:proofErr w:type="spellEnd"/>
      <w:r w:rsidRPr="00E048BE">
        <w:rPr>
          <w:rFonts w:cs="v4.2.0"/>
        </w:rPr>
        <w:t>/2</w:t>
      </w:r>
      <w:r w:rsidRPr="00E048BE">
        <w:rPr>
          <w:rFonts w:cs="v4.2.0"/>
          <w:lang w:eastAsia="zh-CN"/>
        </w:rPr>
        <w:t>.</w:t>
      </w:r>
      <w:r>
        <w:rPr>
          <w:lang w:val="en-US"/>
        </w:rPr>
        <w:t>”</w:t>
      </w:r>
    </w:p>
    <w:p w14:paraId="6CB2F1F6" w14:textId="7ED59B49" w:rsidR="002407B4" w:rsidRDefault="002407B4" w:rsidP="00B66B7D">
      <w:pPr>
        <w:rPr>
          <w:rFonts w:cs="v4.2.0"/>
        </w:rPr>
      </w:pPr>
      <w:r>
        <w:rPr>
          <w:rFonts w:cs="v4.2.0"/>
          <w:lang w:eastAsia="zh-CN"/>
        </w:rPr>
        <w:t>Observe that for enhanced measurements, when the DRX Cycle is equal to 0.32 s, only two SSB periods</w:t>
      </w:r>
      <w:r w:rsidR="00C8323A">
        <w:rPr>
          <w:rFonts w:cs="v4.2.0"/>
          <w:lang w:eastAsia="zh-CN"/>
        </w:rPr>
        <w:t xml:space="preserve"> (of 160 </w:t>
      </w:r>
      <w:proofErr w:type="spellStart"/>
      <w:r w:rsidR="00C8323A">
        <w:rPr>
          <w:rFonts w:cs="v4.2.0"/>
          <w:lang w:eastAsia="zh-CN"/>
        </w:rPr>
        <w:t>ms</w:t>
      </w:r>
      <w:proofErr w:type="spellEnd"/>
      <w:r w:rsidR="00C8323A">
        <w:rPr>
          <w:rFonts w:cs="v4.2.0"/>
          <w:lang w:eastAsia="zh-CN"/>
        </w:rPr>
        <w:t>)</w:t>
      </w:r>
      <w:r>
        <w:rPr>
          <w:rFonts w:cs="v4.2.0"/>
          <w:lang w:eastAsia="zh-CN"/>
        </w:rPr>
        <w:t xml:space="preserve"> can fit one DRX Cycle, and the UE shall perform measurements across </w:t>
      </w:r>
      <w:proofErr w:type="gramStart"/>
      <w:r>
        <w:rPr>
          <w:rFonts w:cs="v4.2.0"/>
          <w:lang w:eastAsia="zh-CN"/>
        </w:rPr>
        <w:t>both of th</w:t>
      </w:r>
      <w:r w:rsidR="00F2736B">
        <w:rPr>
          <w:rFonts w:cs="v4.2.0"/>
          <w:lang w:eastAsia="zh-CN"/>
        </w:rPr>
        <w:t>e</w:t>
      </w:r>
      <w:r>
        <w:rPr>
          <w:rFonts w:cs="v4.2.0"/>
          <w:lang w:eastAsia="zh-CN"/>
        </w:rPr>
        <w:t>s</w:t>
      </w:r>
      <w:r w:rsidR="00F2736B">
        <w:rPr>
          <w:rFonts w:cs="v4.2.0"/>
          <w:lang w:eastAsia="zh-CN"/>
        </w:rPr>
        <w:t>e</w:t>
      </w:r>
      <w:proofErr w:type="gramEnd"/>
      <w:r>
        <w:rPr>
          <w:rFonts w:cs="v4.2.0"/>
          <w:lang w:eastAsia="zh-CN"/>
        </w:rPr>
        <w:t xml:space="preserve"> opportunities necessarily in order to achieve the requirements for </w:t>
      </w:r>
      <w:proofErr w:type="spellStart"/>
      <w:r w:rsidRPr="00E048BE">
        <w:rPr>
          <w:rFonts w:cs="v4.2.0"/>
        </w:rPr>
        <w:t>T</w:t>
      </w:r>
      <w:r w:rsidRPr="00E048BE">
        <w:rPr>
          <w:rFonts w:cs="v4.2.0"/>
          <w:vertAlign w:val="subscript"/>
        </w:rPr>
        <w:t>measure,NR_</w:t>
      </w:r>
      <w:r>
        <w:rPr>
          <w:rFonts w:cs="v4.2.0"/>
          <w:vertAlign w:val="subscript"/>
        </w:rPr>
        <w:t>xx_enh</w:t>
      </w:r>
      <w:proofErr w:type="spellEnd"/>
      <w:r w:rsidRPr="00E048BE">
        <w:rPr>
          <w:rFonts w:cs="v4.2.0"/>
        </w:rPr>
        <w:t>/2</w:t>
      </w:r>
      <w:r>
        <w:rPr>
          <w:rFonts w:cs="v4.2.0"/>
        </w:rPr>
        <w:t xml:space="preserve">. This means that the UE </w:t>
      </w:r>
      <w:proofErr w:type="gramStart"/>
      <w:r>
        <w:rPr>
          <w:rFonts w:cs="v4.2.0"/>
        </w:rPr>
        <w:t>has to</w:t>
      </w:r>
      <w:proofErr w:type="gramEnd"/>
      <w:r>
        <w:rPr>
          <w:rFonts w:cs="v4.2.0"/>
        </w:rPr>
        <w:t xml:space="preserve"> successfully decode 100% of the SSB opportunities within a DRX Cycle, which is considerably more stringent than the previous requirement, where the UE would have at least 16 opportunities to collect at least 2 measurements. </w:t>
      </w:r>
    </w:p>
    <w:p w14:paraId="30DEA177" w14:textId="2E80DE47" w:rsidR="002407B4" w:rsidRDefault="002407B4" w:rsidP="00B66B7D">
      <w:pPr>
        <w:rPr>
          <w:rFonts w:cs="v4.2.0"/>
        </w:rPr>
      </w:pPr>
      <w:r>
        <w:rPr>
          <w:rFonts w:cs="v4.2.0"/>
        </w:rPr>
        <w:t>Therefore, we propose:</w:t>
      </w:r>
    </w:p>
    <w:p w14:paraId="35C06D03" w14:textId="1D6F0395" w:rsidR="002407B4" w:rsidRPr="002407B4" w:rsidRDefault="002407B4" w:rsidP="002407B4">
      <w:pPr>
        <w:pStyle w:val="RAN4proposal"/>
      </w:pPr>
      <w:bookmarkStart w:id="5" w:name="_Toc181988989"/>
      <w:r>
        <w:t xml:space="preserve">For the SSB-periodicity of 160 </w:t>
      </w:r>
      <w:proofErr w:type="spellStart"/>
      <w:r>
        <w:t>ms</w:t>
      </w:r>
      <w:proofErr w:type="spellEnd"/>
      <w:r>
        <w:t xml:space="preserve">, RAN4 to discuss whether the values for </w:t>
      </w:r>
      <w:proofErr w:type="spellStart"/>
      <w:r>
        <w:t>Tmeasure_NR_xxx_enh</w:t>
      </w:r>
      <w:proofErr w:type="spellEnd"/>
      <w:r>
        <w:t xml:space="preserve"> need to be updated for DRX Cycles equal to 0.32 s.</w:t>
      </w:r>
      <w:bookmarkEnd w:id="5"/>
      <w:r>
        <w:t xml:space="preserve"> </w:t>
      </w:r>
    </w:p>
    <w:p w14:paraId="675D45DA" w14:textId="77777777" w:rsidR="00100ED9" w:rsidRPr="00100ED9" w:rsidRDefault="00100ED9" w:rsidP="00100ED9"/>
    <w:p w14:paraId="28581FE5" w14:textId="408A099B" w:rsidR="00100ED9" w:rsidRDefault="00163BD7" w:rsidP="00100ED9">
      <w:pPr>
        <w:pStyle w:val="RAN4H2"/>
        <w:rPr>
          <w:lang w:val="en-US"/>
        </w:rPr>
      </w:pPr>
      <w:r>
        <w:rPr>
          <w:lang w:val="en-US"/>
        </w:rPr>
        <w:t xml:space="preserve">Paging Interruption </w:t>
      </w:r>
    </w:p>
    <w:p w14:paraId="1C266FC2" w14:textId="021F4843" w:rsidR="00163BD7" w:rsidRDefault="00163BD7" w:rsidP="00163BD7">
      <w:pPr>
        <w:rPr>
          <w:lang w:val="en-US"/>
        </w:rPr>
      </w:pPr>
      <w:r>
        <w:rPr>
          <w:lang w:val="en-US"/>
        </w:rPr>
        <w:t>Paging interruption requirements state that:</w:t>
      </w:r>
    </w:p>
    <w:tbl>
      <w:tblPr>
        <w:tblStyle w:val="TableGrid"/>
        <w:tblW w:w="0" w:type="auto"/>
        <w:tblLook w:val="04A0" w:firstRow="1" w:lastRow="0" w:firstColumn="1" w:lastColumn="0" w:noHBand="0" w:noVBand="1"/>
      </w:tblPr>
      <w:tblGrid>
        <w:gridCol w:w="9617"/>
      </w:tblGrid>
      <w:tr w:rsidR="00163BD7" w14:paraId="5EC9B28B" w14:textId="77777777" w:rsidTr="00163BD7">
        <w:tc>
          <w:tcPr>
            <w:tcW w:w="9617" w:type="dxa"/>
          </w:tcPr>
          <w:p w14:paraId="5E8DD056" w14:textId="77777777" w:rsidR="00163BD7" w:rsidRPr="009C5807" w:rsidRDefault="00163BD7" w:rsidP="00163BD7">
            <w:pPr>
              <w:pStyle w:val="Heading4"/>
            </w:pPr>
            <w:r w:rsidRPr="009C5807">
              <w:t>4.2</w:t>
            </w:r>
            <w:r>
              <w:t>C</w:t>
            </w:r>
            <w:r w:rsidRPr="009C5807">
              <w:t>.2.</w:t>
            </w:r>
            <w:r>
              <w:t>5</w:t>
            </w:r>
            <w:r w:rsidRPr="009C5807">
              <w:tab/>
              <w:t>Maximum interruption in paging reception</w:t>
            </w:r>
          </w:p>
          <w:p w14:paraId="017E5ACC" w14:textId="77777777" w:rsidR="00163BD7" w:rsidRDefault="00163BD7" w:rsidP="00163BD7">
            <w:pPr>
              <w:rPr>
                <w:lang w:eastAsia="ko-KR"/>
              </w:rPr>
            </w:pPr>
            <w:r w:rsidRPr="009C5807">
              <w:rPr>
                <w:lang w:eastAsia="ko-KR"/>
              </w:rPr>
              <w:t>UE shall perform the cell re-selection with minimum interruption in monitoring downlink channels for paging reception.</w:t>
            </w:r>
          </w:p>
          <w:p w14:paraId="676DF8A2" w14:textId="77777777" w:rsidR="00163BD7" w:rsidRDefault="00163BD7" w:rsidP="00163BD7">
            <w:pPr>
              <w:rPr>
                <w:lang w:eastAsia="ko-KR"/>
              </w:rPr>
            </w:pPr>
            <w:r w:rsidRPr="009C5807">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163BD7">
              <w:rPr>
                <w:highlight w:val="yellow"/>
                <w:lang w:eastAsia="ko-KR"/>
              </w:rPr>
              <w:t>The interruption time shall not exceed T</w:t>
            </w:r>
            <w:r w:rsidRPr="00163BD7">
              <w:rPr>
                <w:highlight w:val="yellow"/>
                <w:vertAlign w:val="subscript"/>
                <w:lang w:eastAsia="ko-KR"/>
              </w:rPr>
              <w:t xml:space="preserve">SI-NR </w:t>
            </w:r>
            <w:r w:rsidRPr="00163BD7">
              <w:rPr>
                <w:highlight w:val="yellow"/>
                <w:lang w:eastAsia="ko-KR"/>
              </w:rPr>
              <w:t>+ K*</w:t>
            </w:r>
            <w:proofErr w:type="spellStart"/>
            <w:r w:rsidRPr="00163BD7">
              <w:rPr>
                <w:highlight w:val="yellow"/>
              </w:rPr>
              <w:t>T</w:t>
            </w:r>
            <w:r w:rsidRPr="00163BD7">
              <w:rPr>
                <w:highlight w:val="yellow"/>
                <w:vertAlign w:val="subscript"/>
              </w:rPr>
              <w:t>target_cell_SMTC_period</w:t>
            </w:r>
            <w:proofErr w:type="spellEnd"/>
            <w:r w:rsidRPr="00163BD7">
              <w:rPr>
                <w:highlight w:val="yellow"/>
                <w:vertAlign w:val="subscript"/>
              </w:rPr>
              <w:t xml:space="preserve"> </w:t>
            </w:r>
            <w:proofErr w:type="spellStart"/>
            <w:r w:rsidRPr="00163BD7">
              <w:rPr>
                <w:highlight w:val="yellow"/>
                <w:lang w:eastAsia="ko-KR"/>
              </w:rPr>
              <w:t>ms</w:t>
            </w:r>
            <w:proofErr w:type="spellEnd"/>
            <w:r w:rsidRPr="00163BD7">
              <w:rPr>
                <w:highlight w:val="yellow"/>
                <w:lang w:eastAsia="ko-KR"/>
              </w:rPr>
              <w:t>.</w:t>
            </w:r>
            <w:r w:rsidRPr="00250E36">
              <w:rPr>
                <w:lang w:eastAsia="ko-KR"/>
              </w:rPr>
              <w:t xml:space="preserve"> </w:t>
            </w:r>
          </w:p>
          <w:p w14:paraId="00E8455C" w14:textId="77777777" w:rsidR="00163BD7" w:rsidRDefault="00163BD7" w:rsidP="00163BD7">
            <w:pPr>
              <w:rPr>
                <w:lang w:eastAsia="ko-KR"/>
              </w:rPr>
            </w:pPr>
            <w:proofErr w:type="gramStart"/>
            <w:r>
              <w:rPr>
                <w:lang w:eastAsia="ko-KR"/>
              </w:rPr>
              <w:t>Where</w:t>
            </w:r>
            <w:proofErr w:type="gramEnd"/>
            <w:r>
              <w:rPr>
                <w:lang w:eastAsia="ko-KR"/>
              </w:rPr>
              <w:t>,</w:t>
            </w:r>
          </w:p>
          <w:p w14:paraId="69B98594" w14:textId="77777777" w:rsidR="00163BD7" w:rsidRDefault="00163BD7" w:rsidP="00163BD7">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0D467096" w14:textId="77777777" w:rsidR="00163BD7" w:rsidRDefault="00163BD7" w:rsidP="00163BD7">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259E60F" w14:textId="77777777" w:rsidR="00163BD7" w:rsidRPr="003D1200" w:rsidRDefault="00163BD7" w:rsidP="00163BD7">
            <w:pPr>
              <w:rPr>
                <w:rFonts w:eastAsia="Malgun Gothic"/>
                <w:lang w:eastAsia="ko-KR"/>
              </w:rPr>
            </w:pPr>
            <w:r>
              <w:rPr>
                <w:lang w:eastAsia="ko-KR"/>
              </w:rPr>
              <w:t>If the target cell belongs to a different satellite than the current one and the target cell’s satellite is non-GEO</w:t>
            </w:r>
            <w:r w:rsidRPr="00163BD7">
              <w:rPr>
                <w:highlight w:val="green"/>
                <w:lang w:eastAsia="ko-KR"/>
              </w:rPr>
              <w:t>, then K = 5</w:t>
            </w:r>
            <w:r w:rsidRPr="003C0ABF">
              <w:rPr>
                <w:lang w:eastAsia="ko-KR"/>
              </w:rPr>
              <w:t xml:space="preserve"> </w:t>
            </w:r>
            <w:r>
              <w:rPr>
                <w:lang w:eastAsia="ko-KR"/>
              </w:rPr>
              <w:t>if the target cell is known</w:t>
            </w:r>
            <w:r w:rsidRPr="00D53154">
              <w:rPr>
                <w:lang w:eastAsia="ko-KR"/>
              </w:rPr>
              <w:t>.</w:t>
            </w:r>
          </w:p>
          <w:p w14:paraId="08206B86" w14:textId="77777777" w:rsidR="00163BD7" w:rsidRPr="00163BD7" w:rsidRDefault="00163BD7" w:rsidP="00163BD7"/>
        </w:tc>
      </w:tr>
    </w:tbl>
    <w:p w14:paraId="4D9BCFF2" w14:textId="77777777" w:rsidR="00163BD7" w:rsidRDefault="00163BD7" w:rsidP="00163BD7">
      <w:pPr>
        <w:rPr>
          <w:lang w:val="en-US"/>
        </w:rPr>
      </w:pPr>
    </w:p>
    <w:p w14:paraId="043741CF" w14:textId="35CA1707" w:rsidR="00163BD7" w:rsidRDefault="00163BD7" w:rsidP="00163BD7">
      <w:pPr>
        <w:rPr>
          <w:lang w:eastAsia="ko-KR"/>
        </w:rPr>
      </w:pPr>
      <w:r>
        <w:rPr>
          <w:lang w:val="en-US"/>
        </w:rPr>
        <w:t xml:space="preserve">Observe that for non-GEO scenarios, if SSB periods of 160 </w:t>
      </w:r>
      <w:proofErr w:type="spellStart"/>
      <w:r>
        <w:rPr>
          <w:lang w:val="en-US"/>
        </w:rPr>
        <w:t>ms</w:t>
      </w:r>
      <w:proofErr w:type="spellEnd"/>
      <w:r>
        <w:rPr>
          <w:lang w:val="en-US"/>
        </w:rPr>
        <w:t xml:space="preserve"> are adopted, a total interruption time equal to 5*160=900ms + </w:t>
      </w:r>
      <w:r w:rsidRPr="009C5807">
        <w:rPr>
          <w:lang w:eastAsia="ko-KR"/>
        </w:rPr>
        <w:t>T</w:t>
      </w:r>
      <w:r w:rsidRPr="009C5807">
        <w:rPr>
          <w:vertAlign w:val="subscript"/>
          <w:lang w:eastAsia="ko-KR"/>
        </w:rPr>
        <w:t>SI-NR</w:t>
      </w:r>
      <w:r>
        <w:rPr>
          <w:vertAlign w:val="subscript"/>
          <w:lang w:eastAsia="ko-KR"/>
        </w:rPr>
        <w:t xml:space="preserve"> </w:t>
      </w:r>
      <w:r>
        <w:rPr>
          <w:lang w:eastAsia="ko-KR"/>
        </w:rPr>
        <w:t xml:space="preserve">might be expected, which may exceed 1 second of interruption in a system with already very long natural interruption times due to cell DTX. </w:t>
      </w:r>
    </w:p>
    <w:p w14:paraId="14555C69" w14:textId="7A786505" w:rsidR="00163BD7" w:rsidRDefault="00163BD7" w:rsidP="00163BD7">
      <w:pPr>
        <w:rPr>
          <w:lang w:eastAsia="ko-KR"/>
        </w:rPr>
      </w:pPr>
      <w:r>
        <w:rPr>
          <w:lang w:eastAsia="ko-KR"/>
        </w:rPr>
        <w:t>Therefore, we propose that:</w:t>
      </w:r>
    </w:p>
    <w:p w14:paraId="5FF7FABC" w14:textId="4BD1694D" w:rsidR="00163BD7" w:rsidRDefault="004333F7" w:rsidP="00163BD7">
      <w:pPr>
        <w:pStyle w:val="RAN4proposal"/>
        <w:rPr>
          <w:lang w:val="en-US"/>
        </w:rPr>
      </w:pPr>
      <w:bookmarkStart w:id="6" w:name="_Toc181988990"/>
      <w:r>
        <w:rPr>
          <w:lang w:val="en-US"/>
        </w:rPr>
        <w:t>Adjust</w:t>
      </w:r>
      <w:r w:rsidR="00163BD7">
        <w:rPr>
          <w:lang w:val="en-US"/>
        </w:rPr>
        <w:t xml:space="preserve"> the paging interruption requirements when SSB periods equal or larger 160 </w:t>
      </w:r>
      <w:proofErr w:type="spellStart"/>
      <w:r w:rsidR="00163BD7">
        <w:rPr>
          <w:lang w:val="en-US"/>
        </w:rPr>
        <w:t>ms</w:t>
      </w:r>
      <w:proofErr w:type="spellEnd"/>
      <w:r w:rsidR="00163BD7">
        <w:rPr>
          <w:lang w:val="en-US"/>
        </w:rPr>
        <w:t xml:space="preserve"> are used in NGSO scenarios.</w:t>
      </w:r>
      <w:bookmarkEnd w:id="6"/>
      <w:r w:rsidR="00163BD7">
        <w:rPr>
          <w:lang w:val="en-US"/>
        </w:rPr>
        <w:t xml:space="preserve"> </w:t>
      </w:r>
    </w:p>
    <w:p w14:paraId="4A3059FB" w14:textId="77777777" w:rsidR="00163BD7" w:rsidRDefault="00163BD7" w:rsidP="00163BD7">
      <w:pPr>
        <w:rPr>
          <w:lang w:val="en-US"/>
        </w:rPr>
      </w:pPr>
    </w:p>
    <w:p w14:paraId="53C327D3" w14:textId="508415CE" w:rsidR="00163BD7" w:rsidRDefault="00163BD7" w:rsidP="00163BD7">
      <w:pPr>
        <w:pStyle w:val="RAN4H2"/>
        <w:rPr>
          <w:lang w:val="en-US"/>
        </w:rPr>
      </w:pPr>
      <w:r>
        <w:rPr>
          <w:lang w:val="en-US"/>
        </w:rPr>
        <w:t>Time interruption uncertainty for UL resources</w:t>
      </w:r>
    </w:p>
    <w:p w14:paraId="603754DE" w14:textId="5D464429" w:rsidR="00163BD7" w:rsidRDefault="00163BD7" w:rsidP="00163BD7">
      <w:pPr>
        <w:rPr>
          <w:i/>
          <w:iCs/>
        </w:rPr>
      </w:pPr>
      <w:r>
        <w:rPr>
          <w:lang w:val="en-US"/>
        </w:rPr>
        <w:t xml:space="preserve">In several mobility features, such as HO, the total interruption requirements are increased by </w:t>
      </w:r>
      <w:r w:rsidRPr="006A2159">
        <w:t>T</w:t>
      </w:r>
      <w:r w:rsidRPr="006A2159">
        <w:rPr>
          <w:vertAlign w:val="subscript"/>
        </w:rPr>
        <w:t>IU</w:t>
      </w:r>
      <w:r>
        <w:rPr>
          <w:vertAlign w:val="subscript"/>
        </w:rPr>
        <w:t xml:space="preserve">, </w:t>
      </w:r>
      <w:r>
        <w:t xml:space="preserve">where </w:t>
      </w:r>
      <w:r w:rsidRPr="006A2159">
        <w:t>T</w:t>
      </w:r>
      <w:r w:rsidRPr="006A2159">
        <w:rPr>
          <w:vertAlign w:val="subscript"/>
        </w:rPr>
        <w:t>IU</w:t>
      </w:r>
      <w:r>
        <w:rPr>
          <w:vertAlign w:val="subscript"/>
        </w:rPr>
        <w:t xml:space="preserve"> </w:t>
      </w:r>
      <w:r w:rsidRPr="006A2159">
        <w:t xml:space="preserve"> is the interruption uncertainty </w:t>
      </w:r>
      <w:r w:rsidRPr="006A2159">
        <w:rPr>
          <w:lang w:eastAsia="zh-CN"/>
        </w:rPr>
        <w:t>in acquiring the first available PRACH occasion in the new cell</w:t>
      </w:r>
      <w:r w:rsidRPr="006A2159">
        <w:t>.</w:t>
      </w:r>
      <w:r>
        <w:t xml:space="preserve"> In general, it is assumed that </w:t>
      </w:r>
      <w:r w:rsidRPr="00163BD7">
        <w:rPr>
          <w:i/>
          <w:iCs/>
        </w:rPr>
        <w:lastRenderedPageBreak/>
        <w:t>“T</w:t>
      </w:r>
      <w:r w:rsidRPr="00163BD7">
        <w:rPr>
          <w:i/>
          <w:iCs/>
          <w:vertAlign w:val="subscript"/>
        </w:rPr>
        <w:t>IU</w:t>
      </w:r>
      <w:r w:rsidRPr="00163BD7">
        <w:rPr>
          <w:i/>
          <w:iCs/>
        </w:rPr>
        <w:t xml:space="preserve"> can be up to the summation of SSB to PRACH occasion association period and 10 </w:t>
      </w:r>
      <w:proofErr w:type="spellStart"/>
      <w:r w:rsidRPr="00163BD7">
        <w:rPr>
          <w:i/>
          <w:iCs/>
        </w:rPr>
        <w:t>ms</w:t>
      </w:r>
      <w:proofErr w:type="spellEnd"/>
      <w:r w:rsidRPr="00163BD7">
        <w:rPr>
          <w:i/>
          <w:iCs/>
        </w:rPr>
        <w:t>. SSB to PRACH occasion associated period is defined in the table 8.1-1 of TS 38.213 [3].”</w:t>
      </w:r>
    </w:p>
    <w:p w14:paraId="1CEA8271" w14:textId="63B347D0" w:rsidR="005776B7" w:rsidRDefault="00163BD7" w:rsidP="00163BD7">
      <w:r>
        <w:t xml:space="preserve">However, </w:t>
      </w:r>
      <w:r w:rsidR="005776B7">
        <w:t xml:space="preserve">the 10 </w:t>
      </w:r>
      <w:proofErr w:type="spellStart"/>
      <w:r w:rsidR="005776B7">
        <w:t>ms</w:t>
      </w:r>
      <w:proofErr w:type="spellEnd"/>
      <w:r w:rsidR="005776B7">
        <w:t xml:space="preserve"> i</w:t>
      </w:r>
      <w:r w:rsidR="00BB1EB5">
        <w:t>n</w:t>
      </w:r>
      <w:r w:rsidR="005776B7">
        <w:t xml:space="preserve"> the equation above is added as an uncertainty of one radio frame for the UE to identify the proper SSB to PRACH occasion. However, due to DTX settings in the cell, the next radio frame might not be available in the current cell. </w:t>
      </w:r>
    </w:p>
    <w:p w14:paraId="5C74E82F" w14:textId="4824BDCE" w:rsidR="005776B7" w:rsidRDefault="005776B7" w:rsidP="005776B7">
      <w:pPr>
        <w:pStyle w:val="RAN4proposal"/>
      </w:pPr>
      <w:bookmarkStart w:id="7" w:name="_Toc181988991"/>
      <w:r>
        <w:t>Consider extending T</w:t>
      </w:r>
      <w:r w:rsidRPr="005776B7">
        <w:rPr>
          <w:vertAlign w:val="subscript"/>
        </w:rPr>
        <w:t>IU</w:t>
      </w:r>
      <w:r>
        <w:rPr>
          <w:vertAlign w:val="subscript"/>
        </w:rPr>
        <w:t xml:space="preserve"> </w:t>
      </w:r>
      <w:r>
        <w:t>when the cell is in DTX mode due to the DL coverage enhancement feature.</w:t>
      </w:r>
      <w:bookmarkEnd w:id="7"/>
      <w:r>
        <w:t xml:space="preserve"> </w:t>
      </w:r>
    </w:p>
    <w:p w14:paraId="1C19DCD9" w14:textId="29898CC7" w:rsidR="00163BD7" w:rsidRPr="00163BD7" w:rsidRDefault="005776B7" w:rsidP="00163BD7">
      <w:pPr>
        <w:rPr>
          <w:lang w:val="en-US"/>
        </w:rPr>
      </w:pPr>
      <w:r>
        <w:t xml:space="preserve"> </w:t>
      </w:r>
    </w:p>
    <w:p w14:paraId="6BA4E3F1" w14:textId="77777777" w:rsidR="00CD7492" w:rsidRPr="00614DD8" w:rsidRDefault="00CD7492" w:rsidP="00A37002">
      <w:pPr>
        <w:pStyle w:val="RAN4H1"/>
        <w:rPr>
          <w:lang w:val="en-US"/>
        </w:rPr>
      </w:pPr>
      <w:bookmarkStart w:id="8" w:name="_Toc116995848"/>
      <w:r w:rsidRPr="00614DD8">
        <w:rPr>
          <w:lang w:val="en-US"/>
        </w:rPr>
        <w:t>Conclusion</w:t>
      </w:r>
      <w:bookmarkEnd w:id="8"/>
    </w:p>
    <w:p w14:paraId="6209511E" w14:textId="47345D1E" w:rsidR="00381F95" w:rsidRPr="00614DD8" w:rsidRDefault="00A04CE9" w:rsidP="00936159">
      <w:pPr>
        <w:rPr>
          <w:lang w:val="en-US"/>
        </w:rPr>
      </w:pPr>
      <w:r>
        <w:rPr>
          <w:lang w:val="en-US"/>
        </w:rPr>
        <w:t xml:space="preserve">In this paper we analyzed RAN4 impact of the NR_NTN_PH3 objectives considering the scope of this WI and/or the open issues already identified in the WF. </w:t>
      </w:r>
    </w:p>
    <w:p w14:paraId="1A79E62F"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bookmarkStart w:id="9" w:name="_Toc116995849"/>
    <w:p w14:paraId="655239E3" w14:textId="0B406C58" w:rsidR="004333F7" w:rsidRDefault="00A04CE9">
      <w:pPr>
        <w:pStyle w:val="TOC1"/>
        <w:rPr>
          <w:rFonts w:asciiTheme="minorHAnsi" w:eastAsiaTheme="minorEastAsia" w:hAnsiTheme="minorHAnsi"/>
          <w:i w:val="0"/>
          <w:iCs w:val="0"/>
          <w:kern w:val="2"/>
          <w:sz w:val="24"/>
          <w:szCs w:val="24"/>
          <w:u w:val="none"/>
          <w:lang w:eastAsia="zh-CN"/>
          <w14:ligatures w14:val="standardContextual"/>
        </w:rPr>
      </w:pPr>
      <w:r>
        <w:rPr>
          <w:lang w:val="en-US"/>
        </w:rPr>
        <w:fldChar w:fldCharType="begin"/>
      </w:r>
      <w:r>
        <w:rPr>
          <w:lang w:val="en-US"/>
        </w:rPr>
        <w:instrText xml:space="preserve"> TOC \n \h \z \t "RAN4 proposal,1,RAN4 observation,1" </w:instrText>
      </w:r>
      <w:r>
        <w:rPr>
          <w:lang w:val="en-US"/>
        </w:rPr>
        <w:fldChar w:fldCharType="separate"/>
      </w:r>
      <w:hyperlink w:anchor="_Toc181988989" w:history="1">
        <w:r w:rsidR="004333F7" w:rsidRPr="00B70636">
          <w:rPr>
            <w:rStyle w:val="Hyperlink"/>
          </w:rPr>
          <w:t>Proposal 1: For the SSB-periodicity of 160 ms, RAN4 to discuss whether the values for Tmeasure_NR_xxx_enh need to be updated for DRX Cycles equal to 0.32 s.</w:t>
        </w:r>
      </w:hyperlink>
    </w:p>
    <w:p w14:paraId="1E83A2E4" w14:textId="477C2813" w:rsidR="004333F7"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81988990" w:history="1">
        <w:r w:rsidR="004333F7" w:rsidRPr="00B70636">
          <w:rPr>
            <w:rStyle w:val="Hyperlink"/>
            <w:lang w:val="en-US"/>
          </w:rPr>
          <w:t>Proposal 2: Adjust the paging interruption requirements when SSB periods equal or larger 160 ms are used in NGSO scenarios.</w:t>
        </w:r>
      </w:hyperlink>
    </w:p>
    <w:p w14:paraId="3B0CCE1C" w14:textId="64C84E27" w:rsidR="004333F7" w:rsidRDefault="00000000">
      <w:pPr>
        <w:pStyle w:val="TOC1"/>
        <w:rPr>
          <w:rFonts w:asciiTheme="minorHAnsi" w:eastAsiaTheme="minorEastAsia" w:hAnsiTheme="minorHAnsi"/>
          <w:i w:val="0"/>
          <w:iCs w:val="0"/>
          <w:kern w:val="2"/>
          <w:sz w:val="24"/>
          <w:szCs w:val="24"/>
          <w:u w:val="none"/>
          <w:lang w:eastAsia="zh-CN"/>
          <w14:ligatures w14:val="standardContextual"/>
        </w:rPr>
      </w:pPr>
      <w:hyperlink w:anchor="_Toc181988991" w:history="1">
        <w:r w:rsidR="004333F7" w:rsidRPr="00B70636">
          <w:rPr>
            <w:rStyle w:val="Hyperlink"/>
          </w:rPr>
          <w:t>Proposal 3: Consider extending T</w:t>
        </w:r>
        <w:r w:rsidR="004333F7" w:rsidRPr="00B70636">
          <w:rPr>
            <w:rStyle w:val="Hyperlink"/>
            <w:vertAlign w:val="subscript"/>
          </w:rPr>
          <w:t xml:space="preserve">IU </w:t>
        </w:r>
        <w:r w:rsidR="004333F7" w:rsidRPr="00B70636">
          <w:rPr>
            <w:rStyle w:val="Hyperlink"/>
          </w:rPr>
          <w:t>when the cell is in DTX mode due to the DL coverage enhancement feature.</w:t>
        </w:r>
      </w:hyperlink>
    </w:p>
    <w:p w14:paraId="25BBFB78" w14:textId="754BD45F" w:rsidR="00847264" w:rsidRPr="00614DD8" w:rsidRDefault="00A04CE9" w:rsidP="008C39F7">
      <w:pPr>
        <w:rPr>
          <w:lang w:val="en-US"/>
        </w:rPr>
      </w:pPr>
      <w:r>
        <w:rPr>
          <w:noProof/>
          <w:u w:val="single"/>
          <w:lang w:val="en-US"/>
        </w:rPr>
        <w:fldChar w:fldCharType="end"/>
      </w:r>
    </w:p>
    <w:p w14:paraId="37AAEA95"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9"/>
    </w:p>
    <w:p w14:paraId="3C7E590E" w14:textId="17E001C1" w:rsidR="00E42B45" w:rsidRDefault="00E42B45" w:rsidP="00D66188">
      <w:pPr>
        <w:pStyle w:val="ListParagraph"/>
        <w:numPr>
          <w:ilvl w:val="0"/>
          <w:numId w:val="21"/>
        </w:numPr>
        <w:ind w:right="-22"/>
        <w:rPr>
          <w:lang w:val="en-US"/>
        </w:rPr>
      </w:pPr>
      <w:bookmarkStart w:id="10" w:name="_Ref114500673"/>
      <w:bookmarkStart w:id="11" w:name="_Ref178945353"/>
      <w:bookmarkEnd w:id="10"/>
      <w:r w:rsidRPr="00E42B45">
        <w:rPr>
          <w:lang w:val="en-US"/>
        </w:rPr>
        <w:t>RP-234078, New WID: Non-Terrestrial Networks (NTN) for NR Phase 3, Huawei</w:t>
      </w:r>
      <w:bookmarkEnd w:id="11"/>
    </w:p>
    <w:p w14:paraId="32F6349D" w14:textId="1378AF0B" w:rsidR="00E82B94" w:rsidRDefault="00E42B45" w:rsidP="00D66188">
      <w:pPr>
        <w:pStyle w:val="ListParagraph"/>
        <w:numPr>
          <w:ilvl w:val="0"/>
          <w:numId w:val="21"/>
        </w:numPr>
        <w:ind w:right="-22"/>
        <w:rPr>
          <w:lang w:val="en-US"/>
        </w:rPr>
      </w:pPr>
      <w:bookmarkStart w:id="12" w:name="_Ref178945346"/>
      <w:r w:rsidRPr="00E42B45">
        <w:rPr>
          <w:lang w:val="en-US"/>
        </w:rPr>
        <w:t>RP-241789</w:t>
      </w:r>
      <w:r>
        <w:rPr>
          <w:lang w:val="en-US"/>
        </w:rPr>
        <w:t xml:space="preserve"> </w:t>
      </w:r>
      <w:r w:rsidRPr="00E42B45">
        <w:rPr>
          <w:lang w:val="en-US"/>
        </w:rPr>
        <w:t>Revised WID: Non-Terrestrial Networks (NTN) for NR Phase 3, Thales, CATT</w:t>
      </w:r>
      <w:bookmarkEnd w:id="12"/>
    </w:p>
    <w:p w14:paraId="2A4D46C0" w14:textId="2E90C7F4" w:rsidR="00E82B94" w:rsidRDefault="000211B4" w:rsidP="00D66188">
      <w:pPr>
        <w:pStyle w:val="ListParagraph"/>
        <w:numPr>
          <w:ilvl w:val="0"/>
          <w:numId w:val="21"/>
        </w:numPr>
        <w:ind w:right="-22"/>
        <w:rPr>
          <w:lang w:val="en-US"/>
        </w:rPr>
      </w:pPr>
      <w:bookmarkStart w:id="13" w:name="_Ref178945761"/>
      <w:r w:rsidRPr="000211B4">
        <w:t>R4-2416866</w:t>
      </w:r>
      <w:r w:rsidR="00570158" w:rsidRPr="00570158">
        <w:t xml:space="preserve">, </w:t>
      </w:r>
      <w:r w:rsidR="00570158" w:rsidRPr="00570158">
        <w:rPr>
          <w:i/>
          <w:iCs/>
        </w:rPr>
        <w:t>"The WF on RRM requirements for Rel-19 NR NTN phase3"</w:t>
      </w:r>
      <w:r w:rsidR="00570158" w:rsidRPr="00570158">
        <w:t>, Moderator (CATT), RAN4 #112</w:t>
      </w:r>
      <w:r>
        <w:t>bis</w:t>
      </w:r>
      <w:r w:rsidR="00570158" w:rsidRPr="00570158">
        <w:t xml:space="preserve">, </w:t>
      </w:r>
      <w:r w:rsidRPr="000211B4">
        <w:t xml:space="preserve">Hefei, Anhui, China, 14th – 18th </w:t>
      </w:r>
      <w:proofErr w:type="gramStart"/>
      <w:r w:rsidRPr="000211B4">
        <w:t>October,</w:t>
      </w:r>
      <w:proofErr w:type="gramEnd"/>
      <w:r w:rsidRPr="000211B4">
        <w:t xml:space="preserve"> 2024</w:t>
      </w:r>
      <w:r w:rsidR="00570158" w:rsidRPr="00570158">
        <w:t>.</w:t>
      </w:r>
      <w:bookmarkEnd w:id="13"/>
    </w:p>
    <w:p w14:paraId="5A1DD231" w14:textId="77777777" w:rsidR="00A04CE9" w:rsidRPr="00A04CE9" w:rsidRDefault="000B7BC5" w:rsidP="00A04CE9">
      <w:pPr>
        <w:pStyle w:val="ListParagraph"/>
        <w:numPr>
          <w:ilvl w:val="0"/>
          <w:numId w:val="21"/>
        </w:numPr>
        <w:ind w:right="-22"/>
        <w:rPr>
          <w:b/>
          <w:lang w:val="en-US"/>
        </w:rPr>
      </w:pPr>
      <w:bookmarkStart w:id="14" w:name="_Ref178948211"/>
      <w:r w:rsidRPr="000B7BC5">
        <w:rPr>
          <w:lang w:val="en-US"/>
        </w:rPr>
        <w:t>R2-2407623</w:t>
      </w:r>
      <w:r>
        <w:rPr>
          <w:lang w:val="en-US"/>
        </w:rPr>
        <w:t xml:space="preserve">, </w:t>
      </w:r>
      <w:r w:rsidRPr="000B7BC5">
        <w:rPr>
          <w:i/>
          <w:iCs/>
          <w:lang w:val="en-US"/>
        </w:rPr>
        <w:t>“</w:t>
      </w:r>
      <w:r w:rsidRPr="000B7BC5">
        <w:rPr>
          <w:bCs/>
          <w:i/>
          <w:iCs/>
        </w:rPr>
        <w:t>LS on common TA in a regenerative payload scenario”</w:t>
      </w:r>
      <w:r w:rsidRPr="000B7BC5">
        <w:rPr>
          <w:bCs/>
        </w:rPr>
        <w:t xml:space="preserve">, China Mobile, </w:t>
      </w:r>
      <w:r w:rsidRPr="000B7BC5">
        <w:rPr>
          <w:bCs/>
          <w:lang w:val="en-US"/>
        </w:rPr>
        <w:t>Maastricht, Netherlands, 19</w:t>
      </w:r>
      <w:r w:rsidRPr="000B7BC5">
        <w:rPr>
          <w:bCs/>
          <w:vertAlign w:val="superscript"/>
          <w:lang w:val="en-US"/>
        </w:rPr>
        <w:t>th</w:t>
      </w:r>
      <w:r w:rsidRPr="000B7BC5">
        <w:rPr>
          <w:bCs/>
          <w:lang w:val="en-US"/>
        </w:rPr>
        <w:t xml:space="preserve"> – 23</w:t>
      </w:r>
      <w:r w:rsidRPr="000B7BC5">
        <w:rPr>
          <w:bCs/>
          <w:vertAlign w:val="superscript"/>
          <w:lang w:val="en-US"/>
        </w:rPr>
        <w:t>rd</w:t>
      </w:r>
      <w:r w:rsidRPr="000B7BC5">
        <w:rPr>
          <w:bCs/>
          <w:lang w:val="en-US"/>
        </w:rPr>
        <w:t xml:space="preserve"> August 2024</w:t>
      </w:r>
      <w:bookmarkEnd w:id="14"/>
    </w:p>
    <w:p w14:paraId="5849FF90" w14:textId="77777777" w:rsidR="00A04CE9" w:rsidRPr="00A04CE9" w:rsidRDefault="00A04CE9" w:rsidP="00A04CE9">
      <w:pPr>
        <w:pStyle w:val="ListParagraph"/>
        <w:numPr>
          <w:ilvl w:val="0"/>
          <w:numId w:val="21"/>
        </w:numPr>
        <w:ind w:right="-22"/>
        <w:rPr>
          <w:b/>
          <w:bCs/>
          <w:lang w:val="en-US"/>
        </w:rPr>
      </w:pPr>
      <w:bookmarkStart w:id="15" w:name="_Ref178962831"/>
      <w:r w:rsidRPr="00A04CE9">
        <w:rPr>
          <w:lang w:val="en-US"/>
        </w:rPr>
        <w:t>R1-2407538, “</w:t>
      </w:r>
      <w:r w:rsidRPr="00A04CE9">
        <w:t>Draft Reply LS on DL coverage enhancements”, China M</w:t>
      </w:r>
      <w:r>
        <w:t>o</w:t>
      </w:r>
      <w:r w:rsidRPr="00A04CE9">
        <w:t>bile</w:t>
      </w:r>
      <w:r>
        <w:t xml:space="preserve">, RAN1 #118, </w:t>
      </w:r>
      <w:r w:rsidRPr="00A04CE9">
        <w:rPr>
          <w:bCs/>
          <w:lang w:val="en-US"/>
        </w:rPr>
        <w:t>Maastricht, The Netherlands, 19</w:t>
      </w:r>
      <w:r w:rsidRPr="00A04CE9">
        <w:rPr>
          <w:bCs/>
          <w:vertAlign w:val="superscript"/>
          <w:lang w:val="en-US"/>
        </w:rPr>
        <w:t>th</w:t>
      </w:r>
      <w:r w:rsidRPr="00A04CE9">
        <w:rPr>
          <w:bCs/>
          <w:lang w:val="en-US"/>
        </w:rPr>
        <w:t xml:space="preserve"> – 23</w:t>
      </w:r>
      <w:r w:rsidRPr="00A04CE9">
        <w:rPr>
          <w:bCs/>
          <w:vertAlign w:val="superscript"/>
          <w:lang w:val="en-US"/>
        </w:rPr>
        <w:t>rd</w:t>
      </w:r>
      <w:r w:rsidRPr="00A04CE9">
        <w:rPr>
          <w:bCs/>
          <w:lang w:val="en-US"/>
        </w:rPr>
        <w:t xml:space="preserve"> </w:t>
      </w:r>
      <w:proofErr w:type="gramStart"/>
      <w:r w:rsidRPr="00A04CE9">
        <w:rPr>
          <w:bCs/>
          <w:lang w:val="en-US"/>
        </w:rPr>
        <w:t>August,</w:t>
      </w:r>
      <w:proofErr w:type="gramEnd"/>
      <w:r w:rsidRPr="00A04CE9">
        <w:rPr>
          <w:bCs/>
          <w:lang w:val="en-US"/>
        </w:rPr>
        <w:t xml:space="preserve"> 2024</w:t>
      </w:r>
      <w:bookmarkEnd w:id="15"/>
    </w:p>
    <w:p w14:paraId="71DA7189" w14:textId="77777777" w:rsidR="00581618" w:rsidRDefault="00581618" w:rsidP="00E82B94">
      <w:pPr>
        <w:pStyle w:val="ListParagraph"/>
        <w:ind w:right="-22"/>
        <w:rPr>
          <w:lang w:val="en-US"/>
        </w:rPr>
      </w:pPr>
    </w:p>
    <w:p w14:paraId="5284285C"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0D59D" w14:textId="77777777" w:rsidR="00BB5923" w:rsidRDefault="00BB5923" w:rsidP="00001C9B">
      <w:pPr>
        <w:spacing w:after="0" w:line="240" w:lineRule="auto"/>
      </w:pPr>
      <w:r>
        <w:separator/>
      </w:r>
    </w:p>
  </w:endnote>
  <w:endnote w:type="continuationSeparator" w:id="0">
    <w:p w14:paraId="42F36FB3" w14:textId="77777777" w:rsidR="00BB5923" w:rsidRDefault="00BB5923" w:rsidP="00001C9B">
      <w:pPr>
        <w:spacing w:after="0" w:line="240" w:lineRule="auto"/>
      </w:pPr>
      <w:r>
        <w:continuationSeparator/>
      </w:r>
    </w:p>
  </w:endnote>
  <w:endnote w:type="continuationNotice" w:id="1">
    <w:p w14:paraId="779954CA" w14:textId="77777777" w:rsidR="00BB5923" w:rsidRDefault="00BB59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7C143" w14:textId="77777777" w:rsidR="00BB5923" w:rsidRDefault="00BB5923" w:rsidP="00001C9B">
      <w:pPr>
        <w:spacing w:after="0" w:line="240" w:lineRule="auto"/>
      </w:pPr>
      <w:r>
        <w:separator/>
      </w:r>
    </w:p>
  </w:footnote>
  <w:footnote w:type="continuationSeparator" w:id="0">
    <w:p w14:paraId="7B158CA8" w14:textId="77777777" w:rsidR="00BB5923" w:rsidRDefault="00BB5923" w:rsidP="00001C9B">
      <w:pPr>
        <w:spacing w:after="0" w:line="240" w:lineRule="auto"/>
      </w:pPr>
      <w:r>
        <w:continuationSeparator/>
      </w:r>
    </w:p>
  </w:footnote>
  <w:footnote w:type="continuationNotice" w:id="1">
    <w:p w14:paraId="1F797C1F" w14:textId="77777777" w:rsidR="00BB5923" w:rsidRDefault="00BB59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181D4D"/>
    <w:multiLevelType w:val="multilevel"/>
    <w:tmpl w:val="90766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117423"/>
    <w:multiLevelType w:val="hybridMultilevel"/>
    <w:tmpl w:val="767A9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641CD"/>
    <w:multiLevelType w:val="multilevel"/>
    <w:tmpl w:val="1A16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12766"/>
    <w:multiLevelType w:val="hybridMultilevel"/>
    <w:tmpl w:val="38D0EF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3109FD"/>
    <w:multiLevelType w:val="hybridMultilevel"/>
    <w:tmpl w:val="E28E1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B32A5D"/>
    <w:multiLevelType w:val="hybridMultilevel"/>
    <w:tmpl w:val="BA7807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2F0ABF"/>
    <w:multiLevelType w:val="hybridMultilevel"/>
    <w:tmpl w:val="D22A0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783C64"/>
    <w:multiLevelType w:val="hybridMultilevel"/>
    <w:tmpl w:val="04E04C0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E5A23"/>
    <w:multiLevelType w:val="hybridMultilevel"/>
    <w:tmpl w:val="E42E72F4"/>
    <w:lvl w:ilvl="0" w:tplc="211A2F6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0A34FC"/>
    <w:multiLevelType w:val="hybridMultilevel"/>
    <w:tmpl w:val="C08A0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D43B22"/>
    <w:multiLevelType w:val="hybridMultilevel"/>
    <w:tmpl w:val="350A5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F87F03"/>
    <w:multiLevelType w:val="hybridMultilevel"/>
    <w:tmpl w:val="C21E9B54"/>
    <w:lvl w:ilvl="0" w:tplc="7332DA84">
      <w:start w:val="1"/>
      <w:numFmt w:val="bullet"/>
      <w:lvlText w:val=""/>
      <w:lvlJc w:val="left"/>
      <w:pPr>
        <w:tabs>
          <w:tab w:val="num" w:pos="720"/>
        </w:tabs>
        <w:ind w:left="720" w:hanging="360"/>
      </w:pPr>
      <w:rPr>
        <w:rFonts w:ascii="Symbol" w:hAnsi="Symbol" w:hint="default"/>
      </w:rPr>
    </w:lvl>
    <w:lvl w:ilvl="1" w:tplc="77FC6744">
      <w:numFmt w:val="bullet"/>
      <w:lvlText w:val="o"/>
      <w:lvlJc w:val="left"/>
      <w:pPr>
        <w:tabs>
          <w:tab w:val="num" w:pos="1440"/>
        </w:tabs>
        <w:ind w:left="1440" w:hanging="360"/>
      </w:pPr>
      <w:rPr>
        <w:rFonts w:ascii="Courier New" w:hAnsi="Courier New" w:hint="default"/>
      </w:rPr>
    </w:lvl>
    <w:lvl w:ilvl="2" w:tplc="13D8C0E2">
      <w:numFmt w:val="bullet"/>
      <w:lvlText w:val="•"/>
      <w:lvlJc w:val="left"/>
      <w:pPr>
        <w:tabs>
          <w:tab w:val="num" w:pos="2160"/>
        </w:tabs>
        <w:ind w:left="2160" w:hanging="360"/>
      </w:pPr>
      <w:rPr>
        <w:rFonts w:ascii="Times" w:hAnsi="Times" w:hint="default"/>
      </w:rPr>
    </w:lvl>
    <w:lvl w:ilvl="3" w:tplc="3B04666A" w:tentative="1">
      <w:start w:val="1"/>
      <w:numFmt w:val="bullet"/>
      <w:lvlText w:val=""/>
      <w:lvlJc w:val="left"/>
      <w:pPr>
        <w:tabs>
          <w:tab w:val="num" w:pos="2880"/>
        </w:tabs>
        <w:ind w:left="2880" w:hanging="360"/>
      </w:pPr>
      <w:rPr>
        <w:rFonts w:ascii="Symbol" w:hAnsi="Symbol" w:hint="default"/>
      </w:rPr>
    </w:lvl>
    <w:lvl w:ilvl="4" w:tplc="4C6AECEE" w:tentative="1">
      <w:start w:val="1"/>
      <w:numFmt w:val="bullet"/>
      <w:lvlText w:val=""/>
      <w:lvlJc w:val="left"/>
      <w:pPr>
        <w:tabs>
          <w:tab w:val="num" w:pos="3600"/>
        </w:tabs>
        <w:ind w:left="3600" w:hanging="360"/>
      </w:pPr>
      <w:rPr>
        <w:rFonts w:ascii="Symbol" w:hAnsi="Symbol" w:hint="default"/>
      </w:rPr>
    </w:lvl>
    <w:lvl w:ilvl="5" w:tplc="2CC01800" w:tentative="1">
      <w:start w:val="1"/>
      <w:numFmt w:val="bullet"/>
      <w:lvlText w:val=""/>
      <w:lvlJc w:val="left"/>
      <w:pPr>
        <w:tabs>
          <w:tab w:val="num" w:pos="4320"/>
        </w:tabs>
        <w:ind w:left="4320" w:hanging="360"/>
      </w:pPr>
      <w:rPr>
        <w:rFonts w:ascii="Symbol" w:hAnsi="Symbol" w:hint="default"/>
      </w:rPr>
    </w:lvl>
    <w:lvl w:ilvl="6" w:tplc="04BE2D50" w:tentative="1">
      <w:start w:val="1"/>
      <w:numFmt w:val="bullet"/>
      <w:lvlText w:val=""/>
      <w:lvlJc w:val="left"/>
      <w:pPr>
        <w:tabs>
          <w:tab w:val="num" w:pos="5040"/>
        </w:tabs>
        <w:ind w:left="5040" w:hanging="360"/>
      </w:pPr>
      <w:rPr>
        <w:rFonts w:ascii="Symbol" w:hAnsi="Symbol" w:hint="default"/>
      </w:rPr>
    </w:lvl>
    <w:lvl w:ilvl="7" w:tplc="B8367FC8" w:tentative="1">
      <w:start w:val="1"/>
      <w:numFmt w:val="bullet"/>
      <w:lvlText w:val=""/>
      <w:lvlJc w:val="left"/>
      <w:pPr>
        <w:tabs>
          <w:tab w:val="num" w:pos="5760"/>
        </w:tabs>
        <w:ind w:left="5760" w:hanging="360"/>
      </w:pPr>
      <w:rPr>
        <w:rFonts w:ascii="Symbol" w:hAnsi="Symbol" w:hint="default"/>
      </w:rPr>
    </w:lvl>
    <w:lvl w:ilvl="8" w:tplc="BC64F67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7"/>
  </w:num>
  <w:num w:numId="4" w16cid:durableId="517735681">
    <w:abstractNumId w:val="6"/>
  </w:num>
  <w:num w:numId="5" w16cid:durableId="1142041724">
    <w:abstractNumId w:val="24"/>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5"/>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0"/>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750082490">
    <w:abstractNumId w:val="12"/>
  </w:num>
  <w:num w:numId="28" w16cid:durableId="194316087">
    <w:abstractNumId w:val="16"/>
  </w:num>
  <w:num w:numId="29" w16cid:durableId="2134909165">
    <w:abstractNumId w:val="7"/>
  </w:num>
  <w:num w:numId="30" w16cid:durableId="764573285">
    <w:abstractNumId w:val="21"/>
  </w:num>
  <w:num w:numId="31" w16cid:durableId="1293050617">
    <w:abstractNumId w:val="11"/>
  </w:num>
  <w:num w:numId="32" w16cid:durableId="347174308">
    <w:abstractNumId w:val="19"/>
  </w:num>
  <w:num w:numId="33" w16cid:durableId="236136147">
    <w:abstractNumId w:val="4"/>
  </w:num>
  <w:num w:numId="34" w16cid:durableId="1333528663">
    <w:abstractNumId w:val="18"/>
  </w:num>
  <w:num w:numId="35" w16cid:durableId="1586382677">
    <w:abstractNumId w:val="10"/>
  </w:num>
  <w:num w:numId="36" w16cid:durableId="1343970020">
    <w:abstractNumId w:val="22"/>
  </w:num>
  <w:num w:numId="37" w16cid:durableId="1286539701">
    <w:abstractNumId w:val="2"/>
  </w:num>
  <w:num w:numId="38" w16cid:durableId="12253396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2BCC"/>
    <w:rsid w:val="00001C9B"/>
    <w:rsid w:val="000040DC"/>
    <w:rsid w:val="00011784"/>
    <w:rsid w:val="000151EF"/>
    <w:rsid w:val="000211B4"/>
    <w:rsid w:val="000239F5"/>
    <w:rsid w:val="000329E4"/>
    <w:rsid w:val="00042BCC"/>
    <w:rsid w:val="00052DF1"/>
    <w:rsid w:val="00072CCA"/>
    <w:rsid w:val="0008612A"/>
    <w:rsid w:val="00090E18"/>
    <w:rsid w:val="000A10BC"/>
    <w:rsid w:val="000A1646"/>
    <w:rsid w:val="000A7F53"/>
    <w:rsid w:val="000B0056"/>
    <w:rsid w:val="000B7BC5"/>
    <w:rsid w:val="000C3C7B"/>
    <w:rsid w:val="000D0F93"/>
    <w:rsid w:val="000D2A2E"/>
    <w:rsid w:val="00100ED9"/>
    <w:rsid w:val="00106416"/>
    <w:rsid w:val="00110481"/>
    <w:rsid w:val="001127C9"/>
    <w:rsid w:val="00114498"/>
    <w:rsid w:val="001154B8"/>
    <w:rsid w:val="00115B88"/>
    <w:rsid w:val="00131384"/>
    <w:rsid w:val="00132F6A"/>
    <w:rsid w:val="00133913"/>
    <w:rsid w:val="00140221"/>
    <w:rsid w:val="00163BD7"/>
    <w:rsid w:val="001642FC"/>
    <w:rsid w:val="0016496B"/>
    <w:rsid w:val="001743E2"/>
    <w:rsid w:val="001745F8"/>
    <w:rsid w:val="00175F5D"/>
    <w:rsid w:val="00177A0F"/>
    <w:rsid w:val="001838CF"/>
    <w:rsid w:val="001868EE"/>
    <w:rsid w:val="00192414"/>
    <w:rsid w:val="001A3BA4"/>
    <w:rsid w:val="001A6D1F"/>
    <w:rsid w:val="001B1EA8"/>
    <w:rsid w:val="001D3DB1"/>
    <w:rsid w:val="001E30F6"/>
    <w:rsid w:val="00217EE5"/>
    <w:rsid w:val="00235F5C"/>
    <w:rsid w:val="002407B4"/>
    <w:rsid w:val="00257FA3"/>
    <w:rsid w:val="00275A1C"/>
    <w:rsid w:val="00277B56"/>
    <w:rsid w:val="00282A74"/>
    <w:rsid w:val="002849D4"/>
    <w:rsid w:val="002A19F5"/>
    <w:rsid w:val="002B4922"/>
    <w:rsid w:val="002B69F3"/>
    <w:rsid w:val="002C04F9"/>
    <w:rsid w:val="002C22C3"/>
    <w:rsid w:val="002C2D19"/>
    <w:rsid w:val="002D10FA"/>
    <w:rsid w:val="002D4C55"/>
    <w:rsid w:val="002E6DED"/>
    <w:rsid w:val="002F4455"/>
    <w:rsid w:val="00300956"/>
    <w:rsid w:val="00317187"/>
    <w:rsid w:val="0032499A"/>
    <w:rsid w:val="003341F7"/>
    <w:rsid w:val="00337F54"/>
    <w:rsid w:val="00347FEC"/>
    <w:rsid w:val="003509DF"/>
    <w:rsid w:val="00356F45"/>
    <w:rsid w:val="00366B74"/>
    <w:rsid w:val="003774C0"/>
    <w:rsid w:val="00381F95"/>
    <w:rsid w:val="003A236B"/>
    <w:rsid w:val="003A710A"/>
    <w:rsid w:val="003A7E30"/>
    <w:rsid w:val="003B659E"/>
    <w:rsid w:val="003C275E"/>
    <w:rsid w:val="003C4FDE"/>
    <w:rsid w:val="003E58DF"/>
    <w:rsid w:val="00404C4C"/>
    <w:rsid w:val="0041423F"/>
    <w:rsid w:val="00414F81"/>
    <w:rsid w:val="004333F7"/>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45DC8"/>
    <w:rsid w:val="00550285"/>
    <w:rsid w:val="00562492"/>
    <w:rsid w:val="00564938"/>
    <w:rsid w:val="00570158"/>
    <w:rsid w:val="00572A20"/>
    <w:rsid w:val="005776B7"/>
    <w:rsid w:val="00581618"/>
    <w:rsid w:val="005836F8"/>
    <w:rsid w:val="00583984"/>
    <w:rsid w:val="005918FA"/>
    <w:rsid w:val="00592A86"/>
    <w:rsid w:val="005B3029"/>
    <w:rsid w:val="005B4801"/>
    <w:rsid w:val="005C23A4"/>
    <w:rsid w:val="005D1CDF"/>
    <w:rsid w:val="005D2BB7"/>
    <w:rsid w:val="005D6FFE"/>
    <w:rsid w:val="005E0A11"/>
    <w:rsid w:val="005E61A8"/>
    <w:rsid w:val="005F6419"/>
    <w:rsid w:val="0060301D"/>
    <w:rsid w:val="0060543D"/>
    <w:rsid w:val="006104DD"/>
    <w:rsid w:val="006130B5"/>
    <w:rsid w:val="00614DD8"/>
    <w:rsid w:val="00617400"/>
    <w:rsid w:val="00632D29"/>
    <w:rsid w:val="00664950"/>
    <w:rsid w:val="00683220"/>
    <w:rsid w:val="00687FA0"/>
    <w:rsid w:val="006A3C11"/>
    <w:rsid w:val="006B7010"/>
    <w:rsid w:val="006C3095"/>
    <w:rsid w:val="006D1B19"/>
    <w:rsid w:val="006E1151"/>
    <w:rsid w:val="006E6311"/>
    <w:rsid w:val="007145FF"/>
    <w:rsid w:val="00715B2A"/>
    <w:rsid w:val="00733B21"/>
    <w:rsid w:val="007450F1"/>
    <w:rsid w:val="00751515"/>
    <w:rsid w:val="007626B7"/>
    <w:rsid w:val="00771D2E"/>
    <w:rsid w:val="0078212B"/>
    <w:rsid w:val="00784DF6"/>
    <w:rsid w:val="00785232"/>
    <w:rsid w:val="007A2588"/>
    <w:rsid w:val="007B186C"/>
    <w:rsid w:val="007C1696"/>
    <w:rsid w:val="007C3ED0"/>
    <w:rsid w:val="007C48C4"/>
    <w:rsid w:val="007C5971"/>
    <w:rsid w:val="007E42DC"/>
    <w:rsid w:val="007F54B9"/>
    <w:rsid w:val="00806A76"/>
    <w:rsid w:val="00811C9D"/>
    <w:rsid w:val="00816C80"/>
    <w:rsid w:val="0081797B"/>
    <w:rsid w:val="0082796A"/>
    <w:rsid w:val="0083707A"/>
    <w:rsid w:val="00841BCD"/>
    <w:rsid w:val="008420F0"/>
    <w:rsid w:val="00845F93"/>
    <w:rsid w:val="00847264"/>
    <w:rsid w:val="00851A8E"/>
    <w:rsid w:val="00851F90"/>
    <w:rsid w:val="0085365B"/>
    <w:rsid w:val="008826C1"/>
    <w:rsid w:val="00883DFD"/>
    <w:rsid w:val="0089210C"/>
    <w:rsid w:val="00893D2E"/>
    <w:rsid w:val="008A1BF7"/>
    <w:rsid w:val="008A5B0E"/>
    <w:rsid w:val="008B0961"/>
    <w:rsid w:val="008C39F7"/>
    <w:rsid w:val="0090091A"/>
    <w:rsid w:val="0090373B"/>
    <w:rsid w:val="009042BD"/>
    <w:rsid w:val="00904FE4"/>
    <w:rsid w:val="00927740"/>
    <w:rsid w:val="00936159"/>
    <w:rsid w:val="009716BB"/>
    <w:rsid w:val="00977E1D"/>
    <w:rsid w:val="009B0573"/>
    <w:rsid w:val="009B7B4B"/>
    <w:rsid w:val="009B7C21"/>
    <w:rsid w:val="009D4973"/>
    <w:rsid w:val="009E4E6E"/>
    <w:rsid w:val="009E77FE"/>
    <w:rsid w:val="00A04992"/>
    <w:rsid w:val="00A04CE9"/>
    <w:rsid w:val="00A147AA"/>
    <w:rsid w:val="00A21D71"/>
    <w:rsid w:val="00A22B78"/>
    <w:rsid w:val="00A246F7"/>
    <w:rsid w:val="00A25AE5"/>
    <w:rsid w:val="00A26442"/>
    <w:rsid w:val="00A37002"/>
    <w:rsid w:val="00A4355E"/>
    <w:rsid w:val="00A520D9"/>
    <w:rsid w:val="00A64DA0"/>
    <w:rsid w:val="00A910D9"/>
    <w:rsid w:val="00A92BCD"/>
    <w:rsid w:val="00AA1B0E"/>
    <w:rsid w:val="00AA47B6"/>
    <w:rsid w:val="00AC163B"/>
    <w:rsid w:val="00AC5CA7"/>
    <w:rsid w:val="00AC6058"/>
    <w:rsid w:val="00AE2BA5"/>
    <w:rsid w:val="00AE56B1"/>
    <w:rsid w:val="00AE6D09"/>
    <w:rsid w:val="00AF7A7C"/>
    <w:rsid w:val="00B02070"/>
    <w:rsid w:val="00B365B9"/>
    <w:rsid w:val="00B408B6"/>
    <w:rsid w:val="00B542DA"/>
    <w:rsid w:val="00B66B7D"/>
    <w:rsid w:val="00B73862"/>
    <w:rsid w:val="00B73F43"/>
    <w:rsid w:val="00B75BBF"/>
    <w:rsid w:val="00B81CDC"/>
    <w:rsid w:val="00B9073A"/>
    <w:rsid w:val="00BA308C"/>
    <w:rsid w:val="00BA6B66"/>
    <w:rsid w:val="00BA6E48"/>
    <w:rsid w:val="00BB1EB5"/>
    <w:rsid w:val="00BB5923"/>
    <w:rsid w:val="00BE0AF6"/>
    <w:rsid w:val="00BE1F03"/>
    <w:rsid w:val="00BE58A7"/>
    <w:rsid w:val="00BF2218"/>
    <w:rsid w:val="00C0426B"/>
    <w:rsid w:val="00C045DF"/>
    <w:rsid w:val="00C26D43"/>
    <w:rsid w:val="00C3196C"/>
    <w:rsid w:val="00C35173"/>
    <w:rsid w:val="00C46548"/>
    <w:rsid w:val="00C574D5"/>
    <w:rsid w:val="00C73F32"/>
    <w:rsid w:val="00C8323A"/>
    <w:rsid w:val="00C839AB"/>
    <w:rsid w:val="00C87462"/>
    <w:rsid w:val="00CA180C"/>
    <w:rsid w:val="00CA5298"/>
    <w:rsid w:val="00CB22B2"/>
    <w:rsid w:val="00CC3EE2"/>
    <w:rsid w:val="00CD6EF7"/>
    <w:rsid w:val="00CD7492"/>
    <w:rsid w:val="00CE3A6B"/>
    <w:rsid w:val="00D00211"/>
    <w:rsid w:val="00D006D1"/>
    <w:rsid w:val="00D025AE"/>
    <w:rsid w:val="00D06309"/>
    <w:rsid w:val="00D1503F"/>
    <w:rsid w:val="00D351EA"/>
    <w:rsid w:val="00D40288"/>
    <w:rsid w:val="00D43403"/>
    <w:rsid w:val="00D50A6B"/>
    <w:rsid w:val="00D5270B"/>
    <w:rsid w:val="00D62E71"/>
    <w:rsid w:val="00D6430D"/>
    <w:rsid w:val="00D66188"/>
    <w:rsid w:val="00D731F6"/>
    <w:rsid w:val="00D740CA"/>
    <w:rsid w:val="00D842DB"/>
    <w:rsid w:val="00D85728"/>
    <w:rsid w:val="00D95481"/>
    <w:rsid w:val="00DA5DEE"/>
    <w:rsid w:val="00DC7A13"/>
    <w:rsid w:val="00DE7064"/>
    <w:rsid w:val="00DF2997"/>
    <w:rsid w:val="00E10BC4"/>
    <w:rsid w:val="00E1415D"/>
    <w:rsid w:val="00E213BD"/>
    <w:rsid w:val="00E323E9"/>
    <w:rsid w:val="00E32FB6"/>
    <w:rsid w:val="00E34018"/>
    <w:rsid w:val="00E42B45"/>
    <w:rsid w:val="00E437D2"/>
    <w:rsid w:val="00E43BF9"/>
    <w:rsid w:val="00E47BC6"/>
    <w:rsid w:val="00E47BD3"/>
    <w:rsid w:val="00E51930"/>
    <w:rsid w:val="00E522D0"/>
    <w:rsid w:val="00E55751"/>
    <w:rsid w:val="00E7398E"/>
    <w:rsid w:val="00E82B94"/>
    <w:rsid w:val="00EA2311"/>
    <w:rsid w:val="00EC0EA6"/>
    <w:rsid w:val="00EC332B"/>
    <w:rsid w:val="00EC7BC3"/>
    <w:rsid w:val="00ED7600"/>
    <w:rsid w:val="00EF6073"/>
    <w:rsid w:val="00EF698B"/>
    <w:rsid w:val="00F1362C"/>
    <w:rsid w:val="00F2736B"/>
    <w:rsid w:val="00F3573F"/>
    <w:rsid w:val="00F369A0"/>
    <w:rsid w:val="00F414F1"/>
    <w:rsid w:val="00F508B8"/>
    <w:rsid w:val="00F61036"/>
    <w:rsid w:val="00F72CB1"/>
    <w:rsid w:val="00F8215E"/>
    <w:rsid w:val="00F824F5"/>
    <w:rsid w:val="00F90FAB"/>
    <w:rsid w:val="00F9374D"/>
    <w:rsid w:val="00FB45BA"/>
    <w:rsid w:val="00FB6924"/>
    <w:rsid w:val="00FC29B9"/>
    <w:rsid w:val="00FC403F"/>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B5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E3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75A1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A1C"/>
    <w:rPr>
      <w:rFonts w:ascii="Times New Roman" w:hAnsi="Times New Roman"/>
      <w:sz w:val="20"/>
      <w:lang w:val="en-GB"/>
    </w:rPr>
  </w:style>
  <w:style w:type="paragraph" w:styleId="Footer">
    <w:name w:val="footer"/>
    <w:basedOn w:val="Normal"/>
    <w:link w:val="FooterChar"/>
    <w:uiPriority w:val="99"/>
    <w:unhideWhenUsed/>
    <w:rsid w:val="00275A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75A1C"/>
    <w:rPr>
      <w:rFonts w:ascii="Times New Roman" w:hAnsi="Times New Roman"/>
      <w:sz w:val="20"/>
      <w:lang w:val="en-GB"/>
    </w:rPr>
  </w:style>
  <w:style w:type="paragraph" w:styleId="Revision">
    <w:name w:val="Revision"/>
    <w:hidden/>
    <w:uiPriority w:val="99"/>
    <w:semiHidden/>
    <w:rsid w:val="00C839A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42969">
      <w:bodyDiv w:val="1"/>
      <w:marLeft w:val="0"/>
      <w:marRight w:val="0"/>
      <w:marTop w:val="0"/>
      <w:marBottom w:val="0"/>
      <w:divBdr>
        <w:top w:val="none" w:sz="0" w:space="0" w:color="auto"/>
        <w:left w:val="none" w:sz="0" w:space="0" w:color="auto"/>
        <w:bottom w:val="none" w:sz="0" w:space="0" w:color="auto"/>
        <w:right w:val="none" w:sz="0" w:space="0" w:color="auto"/>
      </w:divBdr>
    </w:div>
    <w:div w:id="76826345">
      <w:bodyDiv w:val="1"/>
      <w:marLeft w:val="0"/>
      <w:marRight w:val="0"/>
      <w:marTop w:val="0"/>
      <w:marBottom w:val="0"/>
      <w:divBdr>
        <w:top w:val="none" w:sz="0" w:space="0" w:color="auto"/>
        <w:left w:val="none" w:sz="0" w:space="0" w:color="auto"/>
        <w:bottom w:val="none" w:sz="0" w:space="0" w:color="auto"/>
        <w:right w:val="none" w:sz="0" w:space="0" w:color="auto"/>
      </w:divBdr>
    </w:div>
    <w:div w:id="348680510">
      <w:bodyDiv w:val="1"/>
      <w:marLeft w:val="0"/>
      <w:marRight w:val="0"/>
      <w:marTop w:val="0"/>
      <w:marBottom w:val="0"/>
      <w:divBdr>
        <w:top w:val="none" w:sz="0" w:space="0" w:color="auto"/>
        <w:left w:val="none" w:sz="0" w:space="0" w:color="auto"/>
        <w:bottom w:val="none" w:sz="0" w:space="0" w:color="auto"/>
        <w:right w:val="none" w:sz="0" w:space="0" w:color="auto"/>
      </w:divBdr>
    </w:div>
    <w:div w:id="452750284">
      <w:bodyDiv w:val="1"/>
      <w:marLeft w:val="0"/>
      <w:marRight w:val="0"/>
      <w:marTop w:val="0"/>
      <w:marBottom w:val="0"/>
      <w:divBdr>
        <w:top w:val="none" w:sz="0" w:space="0" w:color="auto"/>
        <w:left w:val="none" w:sz="0" w:space="0" w:color="auto"/>
        <w:bottom w:val="none" w:sz="0" w:space="0" w:color="auto"/>
        <w:right w:val="none" w:sz="0" w:space="0" w:color="auto"/>
      </w:divBdr>
    </w:div>
    <w:div w:id="474763181">
      <w:bodyDiv w:val="1"/>
      <w:marLeft w:val="0"/>
      <w:marRight w:val="0"/>
      <w:marTop w:val="0"/>
      <w:marBottom w:val="0"/>
      <w:divBdr>
        <w:top w:val="none" w:sz="0" w:space="0" w:color="auto"/>
        <w:left w:val="none" w:sz="0" w:space="0" w:color="auto"/>
        <w:bottom w:val="none" w:sz="0" w:space="0" w:color="auto"/>
        <w:right w:val="none" w:sz="0" w:space="0" w:color="auto"/>
      </w:divBdr>
    </w:div>
    <w:div w:id="812795695">
      <w:bodyDiv w:val="1"/>
      <w:marLeft w:val="0"/>
      <w:marRight w:val="0"/>
      <w:marTop w:val="0"/>
      <w:marBottom w:val="0"/>
      <w:divBdr>
        <w:top w:val="none" w:sz="0" w:space="0" w:color="auto"/>
        <w:left w:val="none" w:sz="0" w:space="0" w:color="auto"/>
        <w:bottom w:val="none" w:sz="0" w:space="0" w:color="auto"/>
        <w:right w:val="none" w:sz="0" w:space="0" w:color="auto"/>
      </w:divBdr>
    </w:div>
    <w:div w:id="906722536">
      <w:bodyDiv w:val="1"/>
      <w:marLeft w:val="0"/>
      <w:marRight w:val="0"/>
      <w:marTop w:val="0"/>
      <w:marBottom w:val="0"/>
      <w:divBdr>
        <w:top w:val="none" w:sz="0" w:space="0" w:color="auto"/>
        <w:left w:val="none" w:sz="0" w:space="0" w:color="auto"/>
        <w:bottom w:val="none" w:sz="0" w:space="0" w:color="auto"/>
        <w:right w:val="none" w:sz="0" w:space="0" w:color="auto"/>
      </w:divBdr>
    </w:div>
    <w:div w:id="1034813786">
      <w:bodyDiv w:val="1"/>
      <w:marLeft w:val="0"/>
      <w:marRight w:val="0"/>
      <w:marTop w:val="0"/>
      <w:marBottom w:val="0"/>
      <w:divBdr>
        <w:top w:val="none" w:sz="0" w:space="0" w:color="auto"/>
        <w:left w:val="none" w:sz="0" w:space="0" w:color="auto"/>
        <w:bottom w:val="none" w:sz="0" w:space="0" w:color="auto"/>
        <w:right w:val="none" w:sz="0" w:space="0" w:color="auto"/>
      </w:divBdr>
    </w:div>
    <w:div w:id="1120031729">
      <w:bodyDiv w:val="1"/>
      <w:marLeft w:val="0"/>
      <w:marRight w:val="0"/>
      <w:marTop w:val="0"/>
      <w:marBottom w:val="0"/>
      <w:divBdr>
        <w:top w:val="none" w:sz="0" w:space="0" w:color="auto"/>
        <w:left w:val="none" w:sz="0" w:space="0" w:color="auto"/>
        <w:bottom w:val="none" w:sz="0" w:space="0" w:color="auto"/>
        <w:right w:val="none" w:sz="0" w:space="0" w:color="auto"/>
      </w:divBdr>
      <w:divsChild>
        <w:div w:id="1879970541">
          <w:marLeft w:val="547"/>
          <w:marRight w:val="0"/>
          <w:marTop w:val="0"/>
          <w:marBottom w:val="0"/>
          <w:divBdr>
            <w:top w:val="none" w:sz="0" w:space="0" w:color="auto"/>
            <w:left w:val="none" w:sz="0" w:space="0" w:color="auto"/>
            <w:bottom w:val="none" w:sz="0" w:space="0" w:color="auto"/>
            <w:right w:val="none" w:sz="0" w:space="0" w:color="auto"/>
          </w:divBdr>
        </w:div>
        <w:div w:id="692221767">
          <w:marLeft w:val="1166"/>
          <w:marRight w:val="0"/>
          <w:marTop w:val="0"/>
          <w:marBottom w:val="0"/>
          <w:divBdr>
            <w:top w:val="none" w:sz="0" w:space="0" w:color="auto"/>
            <w:left w:val="none" w:sz="0" w:space="0" w:color="auto"/>
            <w:bottom w:val="none" w:sz="0" w:space="0" w:color="auto"/>
            <w:right w:val="none" w:sz="0" w:space="0" w:color="auto"/>
          </w:divBdr>
        </w:div>
        <w:div w:id="764377193">
          <w:marLeft w:val="1800"/>
          <w:marRight w:val="0"/>
          <w:marTop w:val="0"/>
          <w:marBottom w:val="0"/>
          <w:divBdr>
            <w:top w:val="none" w:sz="0" w:space="0" w:color="auto"/>
            <w:left w:val="none" w:sz="0" w:space="0" w:color="auto"/>
            <w:bottom w:val="none" w:sz="0" w:space="0" w:color="auto"/>
            <w:right w:val="none" w:sz="0" w:space="0" w:color="auto"/>
          </w:divBdr>
        </w:div>
        <w:div w:id="908271705">
          <w:marLeft w:val="547"/>
          <w:marRight w:val="0"/>
          <w:marTop w:val="0"/>
          <w:marBottom w:val="0"/>
          <w:divBdr>
            <w:top w:val="none" w:sz="0" w:space="0" w:color="auto"/>
            <w:left w:val="none" w:sz="0" w:space="0" w:color="auto"/>
            <w:bottom w:val="none" w:sz="0" w:space="0" w:color="auto"/>
            <w:right w:val="none" w:sz="0" w:space="0" w:color="auto"/>
          </w:divBdr>
        </w:div>
        <w:div w:id="942034760">
          <w:marLeft w:val="547"/>
          <w:marRight w:val="0"/>
          <w:marTop w:val="0"/>
          <w:marBottom w:val="0"/>
          <w:divBdr>
            <w:top w:val="none" w:sz="0" w:space="0" w:color="auto"/>
            <w:left w:val="none" w:sz="0" w:space="0" w:color="auto"/>
            <w:bottom w:val="none" w:sz="0" w:space="0" w:color="auto"/>
            <w:right w:val="none" w:sz="0" w:space="0" w:color="auto"/>
          </w:divBdr>
        </w:div>
        <w:div w:id="1468888226">
          <w:marLeft w:val="821"/>
          <w:marRight w:val="0"/>
          <w:marTop w:val="0"/>
          <w:marBottom w:val="0"/>
          <w:divBdr>
            <w:top w:val="none" w:sz="0" w:space="0" w:color="auto"/>
            <w:left w:val="none" w:sz="0" w:space="0" w:color="auto"/>
            <w:bottom w:val="none" w:sz="0" w:space="0" w:color="auto"/>
            <w:right w:val="none" w:sz="0" w:space="0" w:color="auto"/>
          </w:divBdr>
        </w:div>
        <w:div w:id="451559582">
          <w:marLeft w:val="821"/>
          <w:marRight w:val="0"/>
          <w:marTop w:val="0"/>
          <w:marBottom w:val="0"/>
          <w:divBdr>
            <w:top w:val="none" w:sz="0" w:space="0" w:color="auto"/>
            <w:left w:val="none" w:sz="0" w:space="0" w:color="auto"/>
            <w:bottom w:val="none" w:sz="0" w:space="0" w:color="auto"/>
            <w:right w:val="none" w:sz="0" w:space="0" w:color="auto"/>
          </w:divBdr>
        </w:div>
        <w:div w:id="231039901">
          <w:marLeft w:val="821"/>
          <w:marRight w:val="0"/>
          <w:marTop w:val="0"/>
          <w:marBottom w:val="0"/>
          <w:divBdr>
            <w:top w:val="none" w:sz="0" w:space="0" w:color="auto"/>
            <w:left w:val="none" w:sz="0" w:space="0" w:color="auto"/>
            <w:bottom w:val="none" w:sz="0" w:space="0" w:color="auto"/>
            <w:right w:val="none" w:sz="0" w:space="0" w:color="auto"/>
          </w:divBdr>
        </w:div>
        <w:div w:id="1908031631">
          <w:marLeft w:val="1454"/>
          <w:marRight w:val="0"/>
          <w:marTop w:val="0"/>
          <w:marBottom w:val="0"/>
          <w:divBdr>
            <w:top w:val="none" w:sz="0" w:space="0" w:color="auto"/>
            <w:left w:val="none" w:sz="0" w:space="0" w:color="auto"/>
            <w:bottom w:val="none" w:sz="0" w:space="0" w:color="auto"/>
            <w:right w:val="none" w:sz="0" w:space="0" w:color="auto"/>
          </w:divBdr>
        </w:div>
        <w:div w:id="1472819933">
          <w:marLeft w:val="821"/>
          <w:marRight w:val="0"/>
          <w:marTop w:val="0"/>
          <w:marBottom w:val="0"/>
          <w:divBdr>
            <w:top w:val="none" w:sz="0" w:space="0" w:color="auto"/>
            <w:left w:val="none" w:sz="0" w:space="0" w:color="auto"/>
            <w:bottom w:val="none" w:sz="0" w:space="0" w:color="auto"/>
            <w:right w:val="none" w:sz="0" w:space="0" w:color="auto"/>
          </w:divBdr>
        </w:div>
      </w:divsChild>
    </w:div>
    <w:div w:id="1159032278">
      <w:bodyDiv w:val="1"/>
      <w:marLeft w:val="0"/>
      <w:marRight w:val="0"/>
      <w:marTop w:val="0"/>
      <w:marBottom w:val="0"/>
      <w:divBdr>
        <w:top w:val="none" w:sz="0" w:space="0" w:color="auto"/>
        <w:left w:val="none" w:sz="0" w:space="0" w:color="auto"/>
        <w:bottom w:val="none" w:sz="0" w:space="0" w:color="auto"/>
        <w:right w:val="none" w:sz="0" w:space="0" w:color="auto"/>
      </w:divBdr>
    </w:div>
    <w:div w:id="1305431704">
      <w:bodyDiv w:val="1"/>
      <w:marLeft w:val="0"/>
      <w:marRight w:val="0"/>
      <w:marTop w:val="0"/>
      <w:marBottom w:val="0"/>
      <w:divBdr>
        <w:top w:val="none" w:sz="0" w:space="0" w:color="auto"/>
        <w:left w:val="none" w:sz="0" w:space="0" w:color="auto"/>
        <w:bottom w:val="none" w:sz="0" w:space="0" w:color="auto"/>
        <w:right w:val="none" w:sz="0" w:space="0" w:color="auto"/>
      </w:divBdr>
    </w:div>
    <w:div w:id="1350526081">
      <w:bodyDiv w:val="1"/>
      <w:marLeft w:val="0"/>
      <w:marRight w:val="0"/>
      <w:marTop w:val="0"/>
      <w:marBottom w:val="0"/>
      <w:divBdr>
        <w:top w:val="none" w:sz="0" w:space="0" w:color="auto"/>
        <w:left w:val="none" w:sz="0" w:space="0" w:color="auto"/>
        <w:bottom w:val="none" w:sz="0" w:space="0" w:color="auto"/>
        <w:right w:val="none" w:sz="0" w:space="0" w:color="auto"/>
      </w:divBdr>
    </w:div>
    <w:div w:id="1689678021">
      <w:bodyDiv w:val="1"/>
      <w:marLeft w:val="0"/>
      <w:marRight w:val="0"/>
      <w:marTop w:val="0"/>
      <w:marBottom w:val="0"/>
      <w:divBdr>
        <w:top w:val="none" w:sz="0" w:space="0" w:color="auto"/>
        <w:left w:val="none" w:sz="0" w:space="0" w:color="auto"/>
        <w:bottom w:val="none" w:sz="0" w:space="0" w:color="auto"/>
        <w:right w:val="none" w:sz="0" w:space="0" w:color="auto"/>
      </w:divBdr>
    </w:div>
    <w:div w:id="1790313724">
      <w:bodyDiv w:val="1"/>
      <w:marLeft w:val="0"/>
      <w:marRight w:val="0"/>
      <w:marTop w:val="0"/>
      <w:marBottom w:val="0"/>
      <w:divBdr>
        <w:top w:val="none" w:sz="0" w:space="0" w:color="auto"/>
        <w:left w:val="none" w:sz="0" w:space="0" w:color="auto"/>
        <w:bottom w:val="none" w:sz="0" w:space="0" w:color="auto"/>
        <w:right w:val="none" w:sz="0" w:space="0" w:color="auto"/>
      </w:divBdr>
    </w:div>
    <w:div w:id="1807816727">
      <w:bodyDiv w:val="1"/>
      <w:marLeft w:val="0"/>
      <w:marRight w:val="0"/>
      <w:marTop w:val="0"/>
      <w:marBottom w:val="0"/>
      <w:divBdr>
        <w:top w:val="none" w:sz="0" w:space="0" w:color="auto"/>
        <w:left w:val="none" w:sz="0" w:space="0" w:color="auto"/>
        <w:bottom w:val="none" w:sz="0" w:space="0" w:color="auto"/>
        <w:right w:val="none" w:sz="0" w:space="0" w:color="auto"/>
      </w:divBdr>
    </w:div>
    <w:div w:id="1809470774">
      <w:bodyDiv w:val="1"/>
      <w:marLeft w:val="0"/>
      <w:marRight w:val="0"/>
      <w:marTop w:val="0"/>
      <w:marBottom w:val="0"/>
      <w:divBdr>
        <w:top w:val="none" w:sz="0" w:space="0" w:color="auto"/>
        <w:left w:val="none" w:sz="0" w:space="0" w:color="auto"/>
        <w:bottom w:val="none" w:sz="0" w:space="0" w:color="auto"/>
        <w:right w:val="none" w:sz="0" w:space="0" w:color="auto"/>
      </w:divBdr>
    </w:div>
    <w:div w:id="1993555777">
      <w:bodyDiv w:val="1"/>
      <w:marLeft w:val="0"/>
      <w:marRight w:val="0"/>
      <w:marTop w:val="0"/>
      <w:marBottom w:val="0"/>
      <w:divBdr>
        <w:top w:val="none" w:sz="0" w:space="0" w:color="auto"/>
        <w:left w:val="none" w:sz="0" w:space="0" w:color="auto"/>
        <w:bottom w:val="none" w:sz="0" w:space="0" w:color="auto"/>
        <w:right w:val="none" w:sz="0" w:space="0" w:color="auto"/>
      </w:divBdr>
    </w:div>
    <w:div w:id="2026246169">
      <w:bodyDiv w:val="1"/>
      <w:marLeft w:val="0"/>
      <w:marRight w:val="0"/>
      <w:marTop w:val="0"/>
      <w:marBottom w:val="0"/>
      <w:divBdr>
        <w:top w:val="none" w:sz="0" w:space="0" w:color="auto"/>
        <w:left w:val="none" w:sz="0" w:space="0" w:color="auto"/>
        <w:bottom w:val="none" w:sz="0" w:space="0" w:color="auto"/>
        <w:right w:val="none" w:sz="0" w:space="0" w:color="auto"/>
      </w:divBdr>
    </w:div>
    <w:div w:id="2034379246">
      <w:bodyDiv w:val="1"/>
      <w:marLeft w:val="0"/>
      <w:marRight w:val="0"/>
      <w:marTop w:val="0"/>
      <w:marBottom w:val="0"/>
      <w:divBdr>
        <w:top w:val="none" w:sz="0" w:space="0" w:color="auto"/>
        <w:left w:val="none" w:sz="0" w:space="0" w:color="auto"/>
        <w:bottom w:val="none" w:sz="0" w:space="0" w:color="auto"/>
        <w:right w:val="none" w:sz="0" w:space="0" w:color="auto"/>
      </w:divBdr>
    </w:div>
    <w:div w:id="20541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2024-11-08T19:32:00Z</dcterms:created>
  <dcterms:modified xsi:type="dcterms:W3CDTF">2024-11-08T19:32:00Z</dcterms:modified>
</cp:coreProperties>
</file>